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3379F" w14:textId="77777777" w:rsidR="0008441B" w:rsidRPr="00141E08" w:rsidRDefault="0008441B" w:rsidP="0008441B">
      <w:pPr>
        <w:ind w:firstLine="709"/>
        <w:rPr>
          <w:rFonts w:ascii="Times New Roman" w:hAnsi="Times New Roman" w:cs="Times New Roman"/>
          <w:sz w:val="24"/>
          <w:szCs w:val="24"/>
        </w:rPr>
      </w:pPr>
      <w:bookmarkStart w:id="0" w:name="_Hlk207360162"/>
      <w:bookmarkStart w:id="1" w:name="_Hlk207359486"/>
    </w:p>
    <w:p w14:paraId="4792CD2D" w14:textId="77777777" w:rsidR="0008441B" w:rsidRPr="00141E08" w:rsidRDefault="0008441B" w:rsidP="0008441B">
      <w:pPr>
        <w:jc w:val="center"/>
        <w:rPr>
          <w:rFonts w:ascii="Times New Roman" w:hAnsi="Times New Roman" w:cs="Times New Roman"/>
          <w:b/>
          <w:bCs/>
          <w:sz w:val="24"/>
          <w:szCs w:val="24"/>
        </w:rPr>
      </w:pPr>
      <w:r w:rsidRPr="00141E08">
        <w:rPr>
          <w:rFonts w:ascii="Times New Roman" w:hAnsi="Times New Roman" w:cs="Times New Roman"/>
          <w:b/>
          <w:bCs/>
          <w:sz w:val="24"/>
          <w:szCs w:val="24"/>
        </w:rPr>
        <w:t>FEMINISMOS, FOUCAULT, NECROPOLÍTICA E MULHERES EM SITUAÇÃO DE RUA: DIREITOS SEXUAIS E REPRODUTIVOS EM DISPUTA</w:t>
      </w:r>
    </w:p>
    <w:p w14:paraId="65D62052" w14:textId="77777777" w:rsidR="0008441B" w:rsidRPr="00141E08" w:rsidRDefault="0008441B" w:rsidP="0008441B">
      <w:pPr>
        <w:spacing w:line="240" w:lineRule="auto"/>
        <w:rPr>
          <w:rFonts w:ascii="Times New Roman" w:hAnsi="Times New Roman" w:cs="Times New Roman"/>
          <w:sz w:val="24"/>
          <w:szCs w:val="24"/>
        </w:rPr>
      </w:pPr>
    </w:p>
    <w:p w14:paraId="62A2D5FC" w14:textId="77777777" w:rsidR="0008441B" w:rsidRPr="00141E08" w:rsidRDefault="0008441B" w:rsidP="0008441B">
      <w:pPr>
        <w:spacing w:line="240" w:lineRule="auto"/>
        <w:rPr>
          <w:rFonts w:ascii="Times New Roman" w:hAnsi="Times New Roman" w:cs="Times New Roman"/>
          <w:sz w:val="24"/>
          <w:szCs w:val="24"/>
        </w:rPr>
      </w:pPr>
    </w:p>
    <w:p w14:paraId="1BF8097A" w14:textId="77777777" w:rsidR="0008441B" w:rsidRPr="00141E08" w:rsidRDefault="0008441B" w:rsidP="0008441B">
      <w:pPr>
        <w:spacing w:line="240" w:lineRule="auto"/>
        <w:jc w:val="right"/>
        <w:rPr>
          <w:rFonts w:ascii="Times New Roman" w:hAnsi="Times New Roman" w:cs="Times New Roman"/>
          <w:sz w:val="24"/>
          <w:szCs w:val="24"/>
        </w:rPr>
      </w:pPr>
      <w:r w:rsidRPr="00141E08">
        <w:rPr>
          <w:rFonts w:ascii="Times New Roman" w:hAnsi="Times New Roman" w:cs="Times New Roman"/>
          <w:sz w:val="24"/>
          <w:szCs w:val="24"/>
        </w:rPr>
        <w:t xml:space="preserve">Bianca </w:t>
      </w:r>
      <w:proofErr w:type="spellStart"/>
      <w:r w:rsidRPr="00141E08">
        <w:rPr>
          <w:rFonts w:ascii="Times New Roman" w:hAnsi="Times New Roman" w:cs="Times New Roman"/>
          <w:sz w:val="24"/>
          <w:szCs w:val="24"/>
        </w:rPr>
        <w:t>Waylla</w:t>
      </w:r>
      <w:proofErr w:type="spellEnd"/>
      <w:r w:rsidRPr="00141E08">
        <w:rPr>
          <w:rFonts w:ascii="Times New Roman" w:hAnsi="Times New Roman" w:cs="Times New Roman"/>
          <w:sz w:val="24"/>
          <w:szCs w:val="24"/>
        </w:rPr>
        <w:t xml:space="preserve"> Ribeiro Dionisio</w:t>
      </w:r>
      <w:r w:rsidRPr="00141E08">
        <w:rPr>
          <w:rStyle w:val="Refdenotaderodap"/>
          <w:rFonts w:ascii="Times New Roman" w:hAnsi="Times New Roman" w:cs="Times New Roman"/>
          <w:sz w:val="24"/>
          <w:szCs w:val="24"/>
        </w:rPr>
        <w:footnoteReference w:id="1"/>
      </w:r>
    </w:p>
    <w:p w14:paraId="15905A80" w14:textId="77777777" w:rsidR="0008441B" w:rsidRPr="00141E08" w:rsidRDefault="0008441B" w:rsidP="0008441B">
      <w:pPr>
        <w:spacing w:line="240" w:lineRule="auto"/>
        <w:jc w:val="right"/>
        <w:rPr>
          <w:rFonts w:ascii="Times New Roman" w:hAnsi="Times New Roman" w:cs="Times New Roman"/>
          <w:i/>
          <w:iCs/>
          <w:sz w:val="24"/>
          <w:szCs w:val="24"/>
        </w:rPr>
      </w:pPr>
      <w:r w:rsidRPr="00141E08">
        <w:rPr>
          <w:rFonts w:ascii="Times New Roman" w:hAnsi="Times New Roman" w:cs="Times New Roman"/>
          <w:sz w:val="24"/>
          <w:szCs w:val="24"/>
        </w:rPr>
        <w:t xml:space="preserve">Francisca Denise Silva Vasconcelos – </w:t>
      </w:r>
      <w:r w:rsidRPr="00141E08">
        <w:rPr>
          <w:rFonts w:ascii="Times New Roman" w:hAnsi="Times New Roman" w:cs="Times New Roman"/>
          <w:i/>
          <w:iCs/>
          <w:sz w:val="24"/>
          <w:szCs w:val="24"/>
        </w:rPr>
        <w:t xml:space="preserve">in </w:t>
      </w:r>
      <w:proofErr w:type="spellStart"/>
      <w:r w:rsidRPr="00141E08">
        <w:rPr>
          <w:rFonts w:ascii="Times New Roman" w:hAnsi="Times New Roman" w:cs="Times New Roman"/>
          <w:i/>
          <w:iCs/>
          <w:sz w:val="24"/>
          <w:szCs w:val="24"/>
        </w:rPr>
        <w:t>memorian</w:t>
      </w:r>
      <w:proofErr w:type="spellEnd"/>
      <w:r w:rsidRPr="00141E08">
        <w:rPr>
          <w:rStyle w:val="Refdenotaderodap"/>
          <w:rFonts w:ascii="Times New Roman" w:hAnsi="Times New Roman" w:cs="Times New Roman"/>
          <w:i/>
          <w:iCs/>
          <w:sz w:val="24"/>
          <w:szCs w:val="24"/>
        </w:rPr>
        <w:footnoteReference w:id="2"/>
      </w:r>
    </w:p>
    <w:p w14:paraId="5DEC976C" w14:textId="77777777" w:rsidR="0008441B" w:rsidRPr="00141E08" w:rsidRDefault="0008441B" w:rsidP="0008441B">
      <w:pPr>
        <w:spacing w:line="240" w:lineRule="auto"/>
        <w:jc w:val="right"/>
        <w:rPr>
          <w:rFonts w:ascii="Times New Roman" w:hAnsi="Times New Roman" w:cs="Times New Roman"/>
          <w:sz w:val="24"/>
          <w:szCs w:val="24"/>
        </w:rPr>
      </w:pPr>
    </w:p>
    <w:p w14:paraId="5879E98B" w14:textId="77777777" w:rsidR="0008441B" w:rsidRDefault="0008441B" w:rsidP="0008441B">
      <w:pPr>
        <w:spacing w:line="240" w:lineRule="auto"/>
        <w:jc w:val="right"/>
      </w:pPr>
    </w:p>
    <w:p w14:paraId="58015522" w14:textId="77777777" w:rsidR="0008441B" w:rsidRDefault="0008441B" w:rsidP="0008441B">
      <w:pPr>
        <w:spacing w:line="240" w:lineRule="auto"/>
      </w:pPr>
    </w:p>
    <w:p w14:paraId="462BD8CF" w14:textId="77777777" w:rsidR="0008441B" w:rsidRDefault="0008441B" w:rsidP="0008441B">
      <w:pPr>
        <w:spacing w:line="240" w:lineRule="auto"/>
      </w:pPr>
    </w:p>
    <w:p w14:paraId="1B2966C7" w14:textId="77777777" w:rsidR="0008441B" w:rsidRPr="00141E08" w:rsidRDefault="0008441B" w:rsidP="00141E08">
      <w:pPr>
        <w:spacing w:line="240" w:lineRule="auto"/>
        <w:jc w:val="both"/>
        <w:rPr>
          <w:rFonts w:ascii="Times New Roman" w:hAnsi="Times New Roman" w:cs="Times New Roman"/>
          <w:b/>
          <w:bCs/>
        </w:rPr>
      </w:pPr>
      <w:r w:rsidRPr="00141E08">
        <w:rPr>
          <w:rFonts w:ascii="Times New Roman" w:hAnsi="Times New Roman" w:cs="Times New Roman"/>
          <w:b/>
          <w:bCs/>
        </w:rPr>
        <w:t>Resumo</w:t>
      </w:r>
    </w:p>
    <w:p w14:paraId="1E589126" w14:textId="77777777" w:rsidR="0008441B" w:rsidRPr="00141E08" w:rsidRDefault="0008441B" w:rsidP="00141E08">
      <w:pPr>
        <w:spacing w:line="240" w:lineRule="auto"/>
        <w:jc w:val="both"/>
        <w:rPr>
          <w:rFonts w:ascii="Times New Roman" w:hAnsi="Times New Roman" w:cs="Times New Roman"/>
        </w:rPr>
      </w:pPr>
      <w:r w:rsidRPr="00141E08">
        <w:rPr>
          <w:rFonts w:ascii="Times New Roman" w:hAnsi="Times New Roman" w:cs="Times New Roman"/>
        </w:rPr>
        <w:t xml:space="preserve">Este ensaio analisa os mecanismos históricos e contemporâneos de controle sobre os corpos femininos, com ênfase nas mulheres em situação de rua, articulando epistemologia feminista, teoria foucaultiana e crítica à racionalidade neoliberal. A partir de uma abordagem interseccional, revela como gênero, raça e classe moldam práticas de exclusão, da disciplina e da violência institucional. O corpo feminino é tratado como instrumento de reprodução social e moral, sendo a maternidade frequentemente usada como tecnologia de dominação. O ensaio evidencia que a autonomia sexual e reprodutiva é sistematicamente negada às mulheres marginalizadas, sustentando um regime </w:t>
      </w:r>
      <w:proofErr w:type="spellStart"/>
      <w:r w:rsidRPr="00141E08">
        <w:rPr>
          <w:rFonts w:ascii="Times New Roman" w:hAnsi="Times New Roman" w:cs="Times New Roman"/>
        </w:rPr>
        <w:t>bioecropolítico</w:t>
      </w:r>
      <w:proofErr w:type="spellEnd"/>
      <w:r w:rsidRPr="00141E08">
        <w:rPr>
          <w:rFonts w:ascii="Times New Roman" w:hAnsi="Times New Roman" w:cs="Times New Roman"/>
        </w:rPr>
        <w:t xml:space="preserve"> que define quem deve ser protegido ou descartado. A crítica à normatividade patriarcal denuncia a atuação das instituições como agentes de opressão, propondo resistências baseadas em saberes </w:t>
      </w:r>
      <w:proofErr w:type="spellStart"/>
      <w:r w:rsidRPr="00141E08">
        <w:rPr>
          <w:rFonts w:ascii="Times New Roman" w:hAnsi="Times New Roman" w:cs="Times New Roman"/>
        </w:rPr>
        <w:t>contra-hegemônicos</w:t>
      </w:r>
      <w:proofErr w:type="spellEnd"/>
      <w:r w:rsidRPr="00141E08">
        <w:rPr>
          <w:rFonts w:ascii="Times New Roman" w:hAnsi="Times New Roman" w:cs="Times New Roman"/>
        </w:rPr>
        <w:t>.</w:t>
      </w:r>
    </w:p>
    <w:p w14:paraId="13D38961" w14:textId="77777777" w:rsidR="0008441B" w:rsidRPr="00141E08" w:rsidRDefault="0008441B" w:rsidP="00141E08">
      <w:pPr>
        <w:spacing w:line="240" w:lineRule="auto"/>
        <w:jc w:val="both"/>
        <w:rPr>
          <w:rFonts w:ascii="Times New Roman" w:hAnsi="Times New Roman" w:cs="Times New Roman"/>
        </w:rPr>
      </w:pPr>
      <w:r w:rsidRPr="00141E08">
        <w:rPr>
          <w:rFonts w:ascii="Times New Roman" w:hAnsi="Times New Roman" w:cs="Times New Roman"/>
          <w:b/>
          <w:bCs/>
        </w:rPr>
        <w:t>Palavras-chave:</w:t>
      </w:r>
      <w:r w:rsidRPr="00141E08">
        <w:rPr>
          <w:rFonts w:ascii="Times New Roman" w:hAnsi="Times New Roman" w:cs="Times New Roman"/>
        </w:rPr>
        <w:t xml:space="preserve"> feminismo, direitos sexuais e reprodutivos, mulheres, pessoas em situação de rua, saúde da mulher.</w:t>
      </w:r>
    </w:p>
    <w:p w14:paraId="354A0F5A" w14:textId="77777777" w:rsidR="0008441B" w:rsidRPr="00141E08" w:rsidRDefault="0008441B" w:rsidP="00141E08">
      <w:pPr>
        <w:spacing w:line="240" w:lineRule="auto"/>
        <w:jc w:val="both"/>
        <w:rPr>
          <w:rFonts w:ascii="Times New Roman" w:hAnsi="Times New Roman" w:cs="Times New Roman"/>
        </w:rPr>
      </w:pPr>
    </w:p>
    <w:p w14:paraId="753BC39D" w14:textId="77777777" w:rsidR="0008441B" w:rsidRPr="00141E08" w:rsidRDefault="0008441B" w:rsidP="00141E08">
      <w:pPr>
        <w:spacing w:line="240" w:lineRule="auto"/>
        <w:jc w:val="both"/>
        <w:rPr>
          <w:rFonts w:ascii="Times New Roman" w:hAnsi="Times New Roman" w:cs="Times New Roman"/>
          <w:b/>
          <w:bCs/>
          <w:lang w:val="en-GB"/>
        </w:rPr>
      </w:pPr>
      <w:r w:rsidRPr="00141E08">
        <w:rPr>
          <w:rFonts w:ascii="Times New Roman" w:hAnsi="Times New Roman" w:cs="Times New Roman"/>
          <w:b/>
          <w:bCs/>
          <w:lang w:val="en-GB"/>
        </w:rPr>
        <w:t>Abstract</w:t>
      </w:r>
    </w:p>
    <w:p w14:paraId="10CC48A9" w14:textId="77777777" w:rsidR="0008441B" w:rsidRPr="00141E08" w:rsidRDefault="0008441B" w:rsidP="00141E08">
      <w:pPr>
        <w:spacing w:line="240" w:lineRule="auto"/>
        <w:jc w:val="both"/>
        <w:rPr>
          <w:rFonts w:ascii="Times New Roman" w:hAnsi="Times New Roman" w:cs="Times New Roman"/>
          <w:lang w:val="en-GB"/>
        </w:rPr>
      </w:pPr>
      <w:r w:rsidRPr="00141E08">
        <w:rPr>
          <w:rFonts w:ascii="Times New Roman" w:hAnsi="Times New Roman" w:cs="Times New Roman"/>
          <w:lang w:val="en-GB"/>
        </w:rPr>
        <w:t xml:space="preserve">This essay </w:t>
      </w:r>
      <w:proofErr w:type="spellStart"/>
      <w:r w:rsidRPr="00141E08">
        <w:rPr>
          <w:rFonts w:ascii="Times New Roman" w:hAnsi="Times New Roman" w:cs="Times New Roman"/>
          <w:lang w:val="en-GB"/>
        </w:rPr>
        <w:t>analyzes</w:t>
      </w:r>
      <w:proofErr w:type="spellEnd"/>
      <w:r w:rsidRPr="00141E08">
        <w:rPr>
          <w:rFonts w:ascii="Times New Roman" w:hAnsi="Times New Roman" w:cs="Times New Roman"/>
          <w:lang w:val="en-GB"/>
        </w:rPr>
        <w:t xml:space="preserve"> the historical and contemporary mechanisms of control over female bodies, with an emphasis on homeless women, drawing on feminist epistemology, Foucauldian theory, and critiques of neoliberal rationality. Through an intersectional approach, it reveals how gender, race, and class shape practices of exclusion, discipline, and institutional violence. The female body is treated as an instrument of social and moral reproduction, with motherhood frequently employed as a technology of domination. The essay highlights how sexual and reproductive autonomy is systematically denied to marginalized women, reinforcing a biopolitical and necropolitical regime that determines who is to be protected and who may be discarded. The critique of patriarchal normativity exposes institutions as agents of oppression, while advocating for resistance grounded in counter-hegemonic knowledge.</w:t>
      </w:r>
    </w:p>
    <w:p w14:paraId="37CCD1A1" w14:textId="592C5320" w:rsidR="0008441B" w:rsidRPr="00141E08" w:rsidRDefault="0008441B" w:rsidP="00141E08">
      <w:pPr>
        <w:jc w:val="both"/>
        <w:rPr>
          <w:rFonts w:ascii="Times New Roman" w:hAnsi="Times New Roman" w:cs="Times New Roman"/>
          <w:lang w:val="en-GB"/>
        </w:rPr>
      </w:pPr>
      <w:r w:rsidRPr="00141E08">
        <w:rPr>
          <w:rFonts w:ascii="Times New Roman" w:hAnsi="Times New Roman" w:cs="Times New Roman"/>
          <w:b/>
          <w:bCs/>
          <w:lang w:val="en-GB"/>
        </w:rPr>
        <w:t>Keywords</w:t>
      </w:r>
      <w:r w:rsidRPr="00141E08">
        <w:rPr>
          <w:rFonts w:ascii="Times New Roman" w:hAnsi="Times New Roman" w:cs="Times New Roman"/>
          <w:lang w:val="en-GB"/>
        </w:rPr>
        <w:t xml:space="preserve">: feminism, reproductive rights, </w:t>
      </w:r>
      <w:proofErr w:type="spellStart"/>
      <w:r w:rsidRPr="00141E08">
        <w:rPr>
          <w:rFonts w:ascii="Times New Roman" w:hAnsi="Times New Roman" w:cs="Times New Roman"/>
          <w:lang w:val="en-GB"/>
        </w:rPr>
        <w:t>womens</w:t>
      </w:r>
      <w:proofErr w:type="spellEnd"/>
      <w:r w:rsidRPr="00141E08">
        <w:rPr>
          <w:rFonts w:ascii="Times New Roman" w:hAnsi="Times New Roman" w:cs="Times New Roman"/>
          <w:lang w:val="en-GB"/>
        </w:rPr>
        <w:t>, housed persons, women’s health.</w:t>
      </w:r>
    </w:p>
    <w:p w14:paraId="37B5E755" w14:textId="77777777" w:rsidR="00141E08" w:rsidRPr="00307C66" w:rsidRDefault="00141E08" w:rsidP="00141E08">
      <w:pPr>
        <w:jc w:val="both"/>
        <w:rPr>
          <w:lang w:val="en-GB"/>
        </w:rPr>
      </w:pPr>
      <w:r w:rsidRPr="00307C66">
        <w:rPr>
          <w:lang w:val="en-GB"/>
        </w:rPr>
        <w:br w:type="page"/>
      </w:r>
    </w:p>
    <w:p w14:paraId="2276FD1F" w14:textId="77777777" w:rsidR="00141E08" w:rsidRPr="00307C66" w:rsidRDefault="00141E08" w:rsidP="0008441B">
      <w:pPr>
        <w:ind w:firstLine="709"/>
        <w:rPr>
          <w:lang w:val="en-GB"/>
        </w:rPr>
      </w:pPr>
    </w:p>
    <w:p w14:paraId="30AA2B17" w14:textId="77777777" w:rsidR="00141E08" w:rsidRPr="00307C66" w:rsidRDefault="00141E08" w:rsidP="00141E08">
      <w:pPr>
        <w:ind w:firstLine="709"/>
        <w:jc w:val="both"/>
        <w:rPr>
          <w:rFonts w:ascii="Times New Roman" w:hAnsi="Times New Roman" w:cs="Times New Roman"/>
          <w:sz w:val="24"/>
          <w:szCs w:val="24"/>
          <w:lang w:val="en-GB"/>
        </w:rPr>
      </w:pPr>
    </w:p>
    <w:p w14:paraId="4A9F8D10" w14:textId="4DB1AE87" w:rsidR="00307C66" w:rsidRPr="00307C66" w:rsidRDefault="00307C66" w:rsidP="00141E08">
      <w:pPr>
        <w:ind w:firstLine="709"/>
        <w:jc w:val="both"/>
        <w:rPr>
          <w:rFonts w:ascii="Times New Roman" w:hAnsi="Times New Roman" w:cs="Times New Roman"/>
          <w:sz w:val="24"/>
          <w:szCs w:val="24"/>
          <w:lang w:val="en-GB"/>
        </w:rPr>
      </w:pPr>
      <w:r w:rsidRPr="00307C66">
        <w:rPr>
          <w:rFonts w:ascii="Times New Roman" w:hAnsi="Times New Roman" w:cs="Times New Roman"/>
          <w:b/>
          <w:bCs/>
          <w:sz w:val="24"/>
          <w:szCs w:val="24"/>
          <w:lang w:val="en-GB"/>
        </w:rPr>
        <w:t>Nota</w:t>
      </w:r>
      <w:r>
        <w:rPr>
          <w:rFonts w:ascii="Times New Roman" w:hAnsi="Times New Roman" w:cs="Times New Roman"/>
          <w:sz w:val="24"/>
          <w:szCs w:val="24"/>
          <w:lang w:val="en-GB"/>
        </w:rPr>
        <w:t>:</w:t>
      </w:r>
    </w:p>
    <w:p w14:paraId="46760DCE" w14:textId="4413E75C" w:rsidR="0008441B" w:rsidRPr="00141E08" w:rsidRDefault="0008441B" w:rsidP="00141E08">
      <w:pPr>
        <w:ind w:firstLine="709"/>
        <w:jc w:val="both"/>
        <w:rPr>
          <w:rFonts w:ascii="Times New Roman" w:hAnsi="Times New Roman" w:cs="Times New Roman"/>
          <w:sz w:val="24"/>
          <w:szCs w:val="24"/>
        </w:rPr>
      </w:pPr>
      <w:r w:rsidRPr="00141E08">
        <w:rPr>
          <w:rFonts w:ascii="Times New Roman" w:hAnsi="Times New Roman" w:cs="Times New Roman"/>
          <w:sz w:val="24"/>
          <w:szCs w:val="24"/>
        </w:rPr>
        <w:t>Este ensaio foi construído ao longo do Mestrado, entre os anos de 2019 e 2020, sob a orientação de uma socióloga negra, feminista, militante incansável dos direitos humanos, defensora intransigente da justiça social, da equidade racial e de gênero, intelectual profundamente comprometida com as lutas populares e referência ética, política e afetiva — em vida e em legado.</w:t>
      </w:r>
    </w:p>
    <w:p w14:paraId="39FC7486" w14:textId="77777777" w:rsidR="0008441B" w:rsidRPr="00141E08" w:rsidRDefault="0008441B" w:rsidP="00141E08">
      <w:pPr>
        <w:ind w:firstLine="709"/>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Embora as referências não sejam recentes – em especial os artigos científicos, a discussão proposta continua a refletir questões centrais e contemporâneas no campo da saúde da mulher e das suas interseccionalidades.  Dessa forma, apresento a obra resultante da última orientação da referida professora no âmbito do Mestrado Acadêmico em Saúde da Família.</w:t>
      </w:r>
    </w:p>
    <w:bookmarkEnd w:id="0"/>
    <w:p w14:paraId="250F069B" w14:textId="77777777" w:rsidR="0008441B" w:rsidRPr="00141E08" w:rsidRDefault="0008441B" w:rsidP="00141E08">
      <w:pPr>
        <w:pStyle w:val="PargrafodaLista"/>
        <w:ind w:left="567"/>
        <w:rPr>
          <w:b/>
          <w:bCs/>
        </w:rPr>
      </w:pPr>
    </w:p>
    <w:p w14:paraId="4C7D3E8D" w14:textId="77777777" w:rsidR="0008441B" w:rsidRPr="00141E08" w:rsidRDefault="0008441B" w:rsidP="00141E08">
      <w:pPr>
        <w:pStyle w:val="PargrafodaLista"/>
        <w:numPr>
          <w:ilvl w:val="0"/>
          <w:numId w:val="1"/>
        </w:numPr>
        <w:spacing w:after="0"/>
        <w:ind w:left="567" w:hanging="567"/>
        <w:rPr>
          <w:b/>
          <w:bCs/>
        </w:rPr>
      </w:pPr>
      <w:r w:rsidRPr="00141E08">
        <w:rPr>
          <w:b/>
          <w:bCs/>
        </w:rPr>
        <w:t>Introdução</w:t>
      </w:r>
    </w:p>
    <w:p w14:paraId="7BD583AE" w14:textId="77777777" w:rsidR="0008441B" w:rsidRPr="00141E08" w:rsidRDefault="0008441B" w:rsidP="00141E08">
      <w:pPr>
        <w:ind w:firstLineChars="709" w:firstLine="1702"/>
        <w:jc w:val="both"/>
        <w:rPr>
          <w:rFonts w:ascii="Times New Roman" w:hAnsi="Times New Roman" w:cs="Times New Roman"/>
          <w:sz w:val="24"/>
          <w:szCs w:val="24"/>
        </w:rPr>
      </w:pPr>
    </w:p>
    <w:p w14:paraId="4929AFF5"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A história da regulação dos corpos femininos é, em grande medida, a história da própria modernidade ocidental. A partir do entrelaçamento entre ciência, religião, Estado e mercado, construiu-se uma arquitetura de poder que normaliza, disciplina e hierarquiza os corpos das mulheres — sobretudo aqueles que fogem às normatividades de classe, raça e sexualidade. Nessa lógica, o corpo feminino torna-se o principal alvo de controle, domesticado tanto para o trabalho produtivo quanto para a reprodução social e moral da ordem vigente.</w:t>
      </w:r>
    </w:p>
    <w:p w14:paraId="5F502CAF"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Mas, diante dessa lógica, surgem perguntas fundamentais: quais vidas femininas são consideradas dignas de cuidado, e quais são descartadas? Quais corpos são reconhecidos como sujeitos de direitos, e quais são tratados como ameaça ou excesso? Quem pode exercer autonomia sobre sua sexualidade e reprodução, e quem é punida por desejá-la?</w:t>
      </w:r>
    </w:p>
    <w:p w14:paraId="21CF17E2"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Este ensaio parte dessas perguntas para refletir sobre os mecanismos de controle, exclusão e violência que operam sobre os corpos das mulheres em situação de rua. Amparado em uma abordagem interseccional, articula os aportes da Epistemologia Feminista, da teoria foucaultiana e da crítica à racionalidade neoliberal para compreender como maternidade, sexualidade e marginalização se entrelaçam na produção de um regime </w:t>
      </w:r>
      <w:proofErr w:type="spellStart"/>
      <w:r w:rsidRPr="00141E08">
        <w:rPr>
          <w:rFonts w:ascii="Times New Roman" w:hAnsi="Times New Roman" w:cs="Times New Roman"/>
          <w:sz w:val="24"/>
          <w:szCs w:val="24"/>
        </w:rPr>
        <w:t>biopolítico</w:t>
      </w:r>
      <w:proofErr w:type="spellEnd"/>
      <w:r w:rsidRPr="00141E08">
        <w:rPr>
          <w:rFonts w:ascii="Times New Roman" w:hAnsi="Times New Roman" w:cs="Times New Roman"/>
          <w:sz w:val="24"/>
          <w:szCs w:val="24"/>
        </w:rPr>
        <w:t xml:space="preserve"> e necropolítico. Regime este que não apenas regula a vida, mas também define — simbólica e materialmente — quem merece viver e quem pode morrer.</w:t>
      </w:r>
    </w:p>
    <w:p w14:paraId="20D3F891"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A invisibilização das mulheres, especialmente das que vivem em contextos de extrema pobreza e exclusão, é parte de um projeto histórico de silenciamento, censura e anulação. Esse processo é operado por relações de poder que, segundo Foucault (2010), controlam os corpos por meio de tecnologias disciplinares e de regulação, articuladas aos interesses do sistema produtivo — e reprodutivo. Esse controle é analisado por Bader </w:t>
      </w:r>
      <w:proofErr w:type="spellStart"/>
      <w:r w:rsidRPr="00141E08">
        <w:rPr>
          <w:rFonts w:ascii="Times New Roman" w:hAnsi="Times New Roman" w:cs="Times New Roman"/>
          <w:sz w:val="24"/>
          <w:szCs w:val="24"/>
        </w:rPr>
        <w:t>Sawaia</w:t>
      </w:r>
      <w:proofErr w:type="spellEnd"/>
      <w:r w:rsidRPr="00141E08">
        <w:rPr>
          <w:rFonts w:ascii="Times New Roman" w:hAnsi="Times New Roman" w:cs="Times New Roman"/>
          <w:sz w:val="24"/>
          <w:szCs w:val="24"/>
        </w:rPr>
        <w:t xml:space="preserve"> (2014a) como uma dinâmica de inclusão perversa, que reconhece os sujeitos apenas para colocá-los em posições subordinadas e estigmatizadas.</w:t>
      </w:r>
    </w:p>
    <w:p w14:paraId="7EF3A6BE"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lastRenderedPageBreak/>
        <w:t xml:space="preserve">Tal perspectiva evidencia como as mulheres são moldadas pelas normas sociais e patriarcais e, ao mesmo tempo, excluídas ou punidas quando não se enquadram nos modelos dominantes de feminilidade. No caso das mulheres em situação de rua, esse processo é radicalizado: seus corpos, longe de serem acolhidos ou protegidos, são marcados como “excedentes”, constantemente expostos a riscos e vulnerabilidades, especialmente à violência sexual e à negação de direitos reprodutivos (COSTA </w:t>
      </w:r>
      <w:r w:rsidRPr="00141E08">
        <w:rPr>
          <w:rFonts w:ascii="Times New Roman" w:hAnsi="Times New Roman" w:cs="Times New Roman"/>
          <w:i/>
          <w:iCs/>
          <w:sz w:val="24"/>
          <w:szCs w:val="24"/>
        </w:rPr>
        <w:t>et al.</w:t>
      </w:r>
      <w:r w:rsidRPr="00141E08">
        <w:rPr>
          <w:rFonts w:ascii="Times New Roman" w:hAnsi="Times New Roman" w:cs="Times New Roman"/>
          <w:sz w:val="24"/>
          <w:szCs w:val="24"/>
        </w:rPr>
        <w:t xml:space="preserve">, 2015; BISCOTTO </w:t>
      </w:r>
      <w:r w:rsidRPr="00141E08">
        <w:rPr>
          <w:rFonts w:ascii="Times New Roman" w:hAnsi="Times New Roman" w:cs="Times New Roman"/>
          <w:i/>
          <w:iCs/>
          <w:sz w:val="24"/>
          <w:szCs w:val="24"/>
        </w:rPr>
        <w:t>et al.</w:t>
      </w:r>
      <w:r w:rsidRPr="00141E08">
        <w:rPr>
          <w:rFonts w:ascii="Times New Roman" w:hAnsi="Times New Roman" w:cs="Times New Roman"/>
          <w:sz w:val="24"/>
          <w:szCs w:val="24"/>
        </w:rPr>
        <w:t>, 2016; BASTOS; VENTURA; BRANDÃO, 2017).</w:t>
      </w:r>
    </w:p>
    <w:p w14:paraId="6450BF95"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Herzog (2018) argumenta que o silenciamento e a invisibilização de grupos marginalizados funcionam como estratégias eficazes de controle social, escondidas sob o disfarce da universalidade democrática. Essa suposta inclusão, ao invés de garantir equidade, </w:t>
      </w:r>
      <w:proofErr w:type="gramStart"/>
      <w:r w:rsidRPr="00141E08">
        <w:rPr>
          <w:rFonts w:ascii="Times New Roman" w:hAnsi="Times New Roman" w:cs="Times New Roman"/>
          <w:sz w:val="24"/>
          <w:szCs w:val="24"/>
        </w:rPr>
        <w:t>mascara</w:t>
      </w:r>
      <w:proofErr w:type="gramEnd"/>
      <w:r w:rsidRPr="00141E08">
        <w:rPr>
          <w:rFonts w:ascii="Times New Roman" w:hAnsi="Times New Roman" w:cs="Times New Roman"/>
          <w:sz w:val="24"/>
          <w:szCs w:val="24"/>
        </w:rPr>
        <w:t xml:space="preserve"> as desigualdades e contribui para a manutenção de uma ordem social que deslegitima o sofrimento dos sujeitos vulnerabilizados. </w:t>
      </w:r>
      <w:proofErr w:type="spellStart"/>
      <w:r w:rsidRPr="00141E08">
        <w:rPr>
          <w:rFonts w:ascii="Times New Roman" w:hAnsi="Times New Roman" w:cs="Times New Roman"/>
          <w:sz w:val="24"/>
          <w:szCs w:val="24"/>
        </w:rPr>
        <w:t>Sawaia</w:t>
      </w:r>
      <w:proofErr w:type="spellEnd"/>
      <w:r w:rsidRPr="00141E08">
        <w:rPr>
          <w:rFonts w:ascii="Times New Roman" w:hAnsi="Times New Roman" w:cs="Times New Roman"/>
          <w:sz w:val="24"/>
          <w:szCs w:val="24"/>
        </w:rPr>
        <w:t xml:space="preserve"> (2014b) reforça que o sofrimento, nesses contextos, não é apenas subjetivo, mas sim produzido socialmente pelas desigualdades históricas e estruturais.</w:t>
      </w:r>
    </w:p>
    <w:p w14:paraId="08D29B03"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Internacionalmente, reconhece-se que as desigualdades de gênero, raça e classe se entrelaçam com os determinantes sociais da saúde, gerando um sistema de vulnerabilidades que atinge diretamente as mulheres em situação de rua (FREEDMAN; CRANKSHAW; MUTAMBARA, 2020). Estudos evidenciam que a mortalidade dessas mulheres é até 30 vezes maior do que entre mulheres da mesma faixa etária na população geral (CHEUNG; HWANG, 2004; FAZEL; GEDDES; KISHEL, 2014; WHO, 2005). Esses dados evidenciam que o abandono institucional não é apenas uma falha de políticas públicas — é uma forma de necropolítica.</w:t>
      </w:r>
    </w:p>
    <w:p w14:paraId="12917A70"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Diante desse cenário, este ensaio propõe um olhar crítico-reflexivo sobre os dispositivos de biopoder e necropolítica que moldam as experiências de saúde sexual e reprodutiva das mulheres em situação de rua. Trata-se de um recorte da pesquisa de Mestrado Acadêmico em Saúde da Família da Universidade Federal de (</w:t>
      </w:r>
      <w:r w:rsidRPr="00141E08">
        <w:rPr>
          <w:rFonts w:ascii="Times New Roman" w:hAnsi="Times New Roman" w:cs="Times New Roman"/>
          <w:i/>
          <w:iCs/>
          <w:sz w:val="24"/>
          <w:szCs w:val="24"/>
        </w:rPr>
        <w:t>suprimido para revisão por pares</w:t>
      </w:r>
      <w:r w:rsidRPr="00141E08">
        <w:rPr>
          <w:rFonts w:ascii="Times New Roman" w:hAnsi="Times New Roman" w:cs="Times New Roman"/>
          <w:sz w:val="24"/>
          <w:szCs w:val="24"/>
        </w:rPr>
        <w:t xml:space="preserve">), cujo objetivo é discutir o cuidado em saúde sexual e reprodutiva para esse grupo social a partir de três eixos: (1) as confluências teóricas entre a epistemologia feminista e a teoria foucaultiana; (2) relações de poder, regulação e controle dos corpos femininos e os direitos sexuais e reprodutivos sob uma perspectiva crítica de gênero; e (3) </w:t>
      </w:r>
      <w:proofErr w:type="spellStart"/>
      <w:r w:rsidRPr="00141E08">
        <w:rPr>
          <w:rFonts w:ascii="Times New Roman" w:hAnsi="Times New Roman" w:cs="Times New Roman"/>
          <w:sz w:val="24"/>
          <w:szCs w:val="24"/>
        </w:rPr>
        <w:t>bio-necropolítica</w:t>
      </w:r>
      <w:proofErr w:type="spellEnd"/>
      <w:r w:rsidRPr="00141E08">
        <w:rPr>
          <w:rFonts w:ascii="Times New Roman" w:hAnsi="Times New Roman" w:cs="Times New Roman"/>
          <w:sz w:val="24"/>
          <w:szCs w:val="24"/>
        </w:rPr>
        <w:t xml:space="preserve"> e mulheres em situação de rua . Ao recuperar o sujeito histórico nas tramas da exclusão, o texto busca contribuir para o debate sobre justiça social, cuidado e políticas públicas sensíveis às desigualdades estruturais.</w:t>
      </w:r>
    </w:p>
    <w:p w14:paraId="7212E4F0" w14:textId="77777777" w:rsidR="0008441B" w:rsidRPr="00141E08" w:rsidRDefault="0008441B" w:rsidP="00141E08">
      <w:pPr>
        <w:pStyle w:val="PargrafodaLista"/>
        <w:numPr>
          <w:ilvl w:val="0"/>
          <w:numId w:val="1"/>
        </w:numPr>
        <w:spacing w:after="0" w:line="360" w:lineRule="auto"/>
        <w:ind w:left="567" w:hanging="567"/>
      </w:pPr>
      <w:r w:rsidRPr="00141E08">
        <w:rPr>
          <w:b/>
          <w:bCs/>
        </w:rPr>
        <w:t>Confluências Teóricas:</w:t>
      </w:r>
      <w:r w:rsidRPr="00141E08">
        <w:t xml:space="preserve"> o discurso, a epistemologia feminista e o pensamento </w:t>
      </w:r>
      <w:proofErr w:type="spellStart"/>
      <w:r w:rsidRPr="00141E08">
        <w:t>contra-hegemônico</w:t>
      </w:r>
      <w:proofErr w:type="spellEnd"/>
    </w:p>
    <w:p w14:paraId="59E5CB9D" w14:textId="77777777" w:rsidR="0008441B" w:rsidRPr="00141E08" w:rsidRDefault="0008441B" w:rsidP="00141E08">
      <w:pPr>
        <w:ind w:firstLineChars="709" w:firstLine="1702"/>
        <w:jc w:val="both"/>
        <w:rPr>
          <w:rFonts w:ascii="Times New Roman" w:hAnsi="Times New Roman" w:cs="Times New Roman"/>
          <w:sz w:val="24"/>
          <w:szCs w:val="24"/>
        </w:rPr>
      </w:pPr>
    </w:p>
    <w:p w14:paraId="5FC12CC3"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A escolha pelas leituras analíticas que sustentam este ensaio parte da convicção de que é necessário tensionar os modos hegemônicos de produção de saber, especialmente aqueles que silenciam, estigmatizam ou patologizam os corpos das mulheres em situação de rua. Nesse sentido, a teoria foucaultiana e a epistemologia feminista constituem ferramentas fundamentais para o desmonte das racionalidades que legitimam desigualdades de gênero, raça e classe.</w:t>
      </w:r>
    </w:p>
    <w:p w14:paraId="10DF0FCE" w14:textId="77777777" w:rsidR="0008441B" w:rsidRPr="00141E08" w:rsidRDefault="0008441B" w:rsidP="00141E08">
      <w:pPr>
        <w:tabs>
          <w:tab w:val="left" w:pos="5245"/>
        </w:tabs>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lastRenderedPageBreak/>
        <w:t xml:space="preserve">Michel Foucault (2010), ao problematizar as relações entre saber e poder, inaugura um pensamento profundamente crítico à normatividade moderna e à produção de subjetividades disciplinadas. Sua contribuição é particularmente fecunda para o feminismo, pois oferece instrumentos teóricos para compreender como os discursos regulam os corpos — sobretudo os femininos — e como os sujeitos são historicamente moldados por práticas sociais, jurídicas, biomédicas e morais. Como aponta </w:t>
      </w:r>
      <w:proofErr w:type="spellStart"/>
      <w:r w:rsidRPr="00141E08">
        <w:rPr>
          <w:rFonts w:ascii="Times New Roman" w:hAnsi="Times New Roman" w:cs="Times New Roman"/>
          <w:sz w:val="24"/>
          <w:szCs w:val="24"/>
        </w:rPr>
        <w:t>Rago</w:t>
      </w:r>
      <w:proofErr w:type="spellEnd"/>
      <w:r w:rsidRPr="00141E08">
        <w:rPr>
          <w:rFonts w:ascii="Times New Roman" w:hAnsi="Times New Roman" w:cs="Times New Roman"/>
          <w:sz w:val="24"/>
          <w:szCs w:val="24"/>
        </w:rPr>
        <w:t xml:space="preserve"> (2000), o pensamento foucaultiano inspira os feminismos ao propor uma genealogia das exclusões, ao lançar luz sobre os mecanismos de silenciamento e ao afirmar a necessidade de resistência frente aos poderes que se pretendem naturalizados. Além disso, ambas perspectivas convergem na crítica à normatividade patriarcal e na preocupação em analisar como essa ordem disciplina e atravessa os corpos, sobretudo os das mulheres, moldando subjetividades (</w:t>
      </w:r>
      <w:proofErr w:type="spellStart"/>
      <w:r w:rsidRPr="00141E08">
        <w:rPr>
          <w:rFonts w:ascii="Times New Roman" w:hAnsi="Times New Roman" w:cs="Times New Roman"/>
          <w:sz w:val="24"/>
          <w:szCs w:val="24"/>
        </w:rPr>
        <w:t>McLAREN</w:t>
      </w:r>
      <w:proofErr w:type="spellEnd"/>
      <w:r w:rsidRPr="00141E08">
        <w:rPr>
          <w:rFonts w:ascii="Times New Roman" w:hAnsi="Times New Roman" w:cs="Times New Roman"/>
          <w:sz w:val="24"/>
          <w:szCs w:val="24"/>
        </w:rPr>
        <w:t>, 2016).</w:t>
      </w:r>
    </w:p>
    <w:p w14:paraId="586E18F1"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Os feminismos, por sua vez, configuram-se como práticas históricas e contemporâneas de resistência à ordem patriarcal e capitalista, ecoando a proposição foucaultiana de que é necessário identificar e ativar formas de enfrentamento diante das múltiplas estratégias de dominação. Como movimentos </w:t>
      </w:r>
      <w:proofErr w:type="spellStart"/>
      <w:r w:rsidRPr="00141E08">
        <w:rPr>
          <w:rFonts w:ascii="Times New Roman" w:hAnsi="Times New Roman" w:cs="Times New Roman"/>
          <w:sz w:val="24"/>
          <w:szCs w:val="24"/>
        </w:rPr>
        <w:t>contra-hegemônicos</w:t>
      </w:r>
      <w:proofErr w:type="spellEnd"/>
      <w:r w:rsidRPr="00141E08">
        <w:rPr>
          <w:rFonts w:ascii="Times New Roman" w:hAnsi="Times New Roman" w:cs="Times New Roman"/>
          <w:sz w:val="24"/>
          <w:szCs w:val="24"/>
        </w:rPr>
        <w:t>, os feminismos não apenas denunciam injustiças, mas também propõem novas epistemologias — modos outros de conhecer, narrar e experienciar o mundo a partir das vivências historicamente invisibilizadas.</w:t>
      </w:r>
    </w:p>
    <w:p w14:paraId="12BFBDDB"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A partir dessa perspectiva, há a necessidade de problematizar o que se compreende por relações de poder e discurso. Primeiramente, cabe rememorar que para Foucault (Machado, 1979, p.199) não existe ‘o Poder’ propriamente dito, mas relações de poder, como pontuado que “se tentarmos construir uma teoria do poder, será necessário sempre descrevê-lo como algo que emerge num determinado lugar e num tempo dados, e daí deduzir e reconstruir sua gênese”.</w:t>
      </w:r>
    </w:p>
    <w:p w14:paraId="60E3280A"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 Machado (1979, </w:t>
      </w:r>
      <w:proofErr w:type="spellStart"/>
      <w:r w:rsidRPr="00141E08">
        <w:rPr>
          <w:rFonts w:ascii="Times New Roman" w:hAnsi="Times New Roman" w:cs="Times New Roman"/>
          <w:sz w:val="24"/>
          <w:szCs w:val="24"/>
        </w:rPr>
        <w:t>p.X</w:t>
      </w:r>
      <w:proofErr w:type="spellEnd"/>
      <w:r w:rsidRPr="00141E08">
        <w:rPr>
          <w:rFonts w:ascii="Times New Roman" w:hAnsi="Times New Roman" w:cs="Times New Roman"/>
          <w:sz w:val="24"/>
          <w:szCs w:val="24"/>
        </w:rPr>
        <w:t xml:space="preserve">) acrescenta que as relações de poder são “formas díspares, heterogêneas, em constante transformação. O poder não é um objeto natural, uma coisa; é uma prática social e, como tal, constituída historicamente”. Ferreirinha e </w:t>
      </w:r>
      <w:proofErr w:type="spellStart"/>
      <w:r w:rsidRPr="00141E08">
        <w:rPr>
          <w:rFonts w:ascii="Times New Roman" w:hAnsi="Times New Roman" w:cs="Times New Roman"/>
          <w:sz w:val="24"/>
          <w:szCs w:val="24"/>
        </w:rPr>
        <w:t>Raitz</w:t>
      </w:r>
      <w:proofErr w:type="spellEnd"/>
      <w:r w:rsidRPr="00141E08">
        <w:rPr>
          <w:rFonts w:ascii="Times New Roman" w:hAnsi="Times New Roman" w:cs="Times New Roman"/>
          <w:sz w:val="24"/>
          <w:szCs w:val="24"/>
        </w:rPr>
        <w:t xml:space="preserve"> (2010) completam as relações de poder operam como mecanismos de dominação e controle, estabelecendo hierarquias entre corpos — uns exercem poder sobre outros — criando uma lógica de governabilidade que se legitima por meio de discursos. Esses discursos não são neutros nem fixos: constituem um fenômeno histórico e social, um movimento circular, que percorre e produzi sentidos. Nesse contexto, o discurso é também uma prática epistemológica: produz conhecimento ao mesmo tempo em que organiza regimes de visibilidade e de exclusão. Em outros termos, o poder e o discurso estão intimamente ligados: o poder se mantém por discursos que organizam e regulam a sociedade, enquanto o discurso, por ser histórico e em constante movimento, molda saberes e legitima formas de governar corpos e comportamentos.</w:t>
      </w:r>
    </w:p>
    <w:p w14:paraId="0583EB4B"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A epistemologia feminista, nesse cenário, surge como campo de crítica radical ao modelo tradicional de conhecimento centrado no sujeito universal, racional, abstrato e masculino. Como explica </w:t>
      </w:r>
      <w:proofErr w:type="spellStart"/>
      <w:r w:rsidRPr="00141E08">
        <w:rPr>
          <w:rFonts w:ascii="Times New Roman" w:hAnsi="Times New Roman" w:cs="Times New Roman"/>
          <w:sz w:val="24"/>
          <w:szCs w:val="24"/>
        </w:rPr>
        <w:t>Rago</w:t>
      </w:r>
      <w:proofErr w:type="spellEnd"/>
      <w:r w:rsidRPr="00141E08">
        <w:rPr>
          <w:rFonts w:ascii="Times New Roman" w:hAnsi="Times New Roman" w:cs="Times New Roman"/>
          <w:sz w:val="24"/>
          <w:szCs w:val="24"/>
        </w:rPr>
        <w:t xml:space="preserve"> (2000), a epistemologia dominante tende a privilegiar uma lógica individualista, descontextualizada e androcêntrica. Em oposição, a Epistemologia Feminista desloca esse paradigma ao demonstrar que se preocupa em </w:t>
      </w:r>
      <w:r w:rsidRPr="00141E08">
        <w:rPr>
          <w:rFonts w:ascii="Times New Roman" w:hAnsi="Times New Roman" w:cs="Times New Roman"/>
          <w:sz w:val="24"/>
          <w:szCs w:val="24"/>
        </w:rPr>
        <w:lastRenderedPageBreak/>
        <w:t>investigar criticamente o papel do gênero nas mais diversificas áreas e práticas do conhecimento humano, sendo, assim, um campo integrado à Epistemologia Social, portanto, é atravessada pelas relações de gênero, raça, classe e sexualidade que moldam os sujeitos e suas formas de conhecer (KETZER, 2017).</w:t>
      </w:r>
    </w:p>
    <w:p w14:paraId="30E63FB0"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Dessa forma, o feminismo torna-se não apenas uma crítica ao patriarcado, mas uma crítica ao próprio modo como o conhecimento é construído e legitimado. Ao propor uma ética do cuidado, da escuta e da experiência, os feminismos desafiam a racionalidade tecnocrática e reivindicam o valor das vozes historicamente silenciadas — aquelas que não se enquadram nos marcos do saber científico dominante (SAFFIOTI, 2004; TIBURI, 2016). </w:t>
      </w:r>
    </w:p>
    <w:p w14:paraId="0C26198F"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Neste ensaio, aposta-se na Epistemologia Feminista por acreditar que os feminismos são operadores teórico-práticos para a crítica aos modos dominantes de produção de conhecimentos, entre eles, o científico hegemônico (SAFFIOTI, 2004; TIBURI, 2016). Esse pensamento feminista busca romper e desafiar as categoriais patriarcais de produção epistêmica tradicional, propondo novas formas de pensar as dimensões ética, estética e política do corpo feminino e das experiências de ser mulher.  Ao propor uma ética do cuidado, da escuta e da experiência, os feminismos desafiam a racionalidade tecnocrática e reivindicam o valor das vozes historicamente silenciadas — aquelas que não se enquadram nos marcos do saber científico dominante, essencialmente masculina (SAFFIOTI, 2004; TIBURI, 2016;). </w:t>
      </w:r>
    </w:p>
    <w:p w14:paraId="2CAF3587"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Assim, produzem contradiscursos: linguagens insurgentes que desestabilizam o suposto universalismo das ciências e reconstroem sentidos a partir da valorização e resgate das experiências das mulheres (RAGO, 2000; </w:t>
      </w:r>
      <w:r w:rsidRPr="00141E08">
        <w:rPr>
          <w:rFonts w:ascii="Times New Roman" w:eastAsia="Times New Roman" w:hAnsi="Times New Roman" w:cs="Times New Roman"/>
          <w:sz w:val="24"/>
          <w:szCs w:val="24"/>
        </w:rPr>
        <w:t>BEAUVOIR</w:t>
      </w:r>
      <w:r w:rsidRPr="00141E08">
        <w:rPr>
          <w:rFonts w:ascii="Times New Roman" w:hAnsi="Times New Roman" w:cs="Times New Roman"/>
          <w:sz w:val="24"/>
          <w:szCs w:val="24"/>
        </w:rPr>
        <w:t>, 2016</w:t>
      </w:r>
      <w:proofErr w:type="gramStart"/>
      <w:r w:rsidRPr="00141E08">
        <w:rPr>
          <w:rFonts w:ascii="Times New Roman" w:hAnsi="Times New Roman" w:cs="Times New Roman"/>
          <w:sz w:val="24"/>
          <w:szCs w:val="24"/>
        </w:rPr>
        <w:t>a;b</w:t>
      </w:r>
      <w:proofErr w:type="gramEnd"/>
      <w:r w:rsidRPr="00141E08">
        <w:rPr>
          <w:rFonts w:ascii="Times New Roman" w:hAnsi="Times New Roman" w:cs="Times New Roman"/>
          <w:sz w:val="24"/>
          <w:szCs w:val="24"/>
        </w:rPr>
        <w:t xml:space="preserve"> , TIBURI, 2016; SAFFIOTI, 2004). Nessa direção, os feminismos se afirmam como pensamentos radicalmente </w:t>
      </w:r>
      <w:proofErr w:type="spellStart"/>
      <w:r w:rsidRPr="00141E08">
        <w:rPr>
          <w:rFonts w:ascii="Times New Roman" w:hAnsi="Times New Roman" w:cs="Times New Roman"/>
          <w:sz w:val="24"/>
          <w:szCs w:val="24"/>
        </w:rPr>
        <w:t>contra-hegemônicos</w:t>
      </w:r>
      <w:proofErr w:type="spellEnd"/>
      <w:r w:rsidRPr="00141E08">
        <w:rPr>
          <w:rFonts w:ascii="Times New Roman" w:hAnsi="Times New Roman" w:cs="Times New Roman"/>
          <w:sz w:val="24"/>
          <w:szCs w:val="24"/>
        </w:rPr>
        <w:t>: livres, insurgentes, descortinados, voltados a desmontar e desnaturalizar as engrenagens de sistemas de injustiças, opressão e desigualdades</w:t>
      </w:r>
    </w:p>
    <w:p w14:paraId="58A546D2"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No entanto, apesar da crescente produção de saberes feministas nas últimas décadas, sua inserção em campos estratégicos, como a saúde pública, ainda é incipiente e fragmentada no Brasil. Predomina uma lógica biomédica e institucional que muitas vezes ignora os marcadores sociais da diferença e despolitiza o cuidado. Isso revela a urgência de incorporar, de forma crítica e consistente, as epistemologias feministas à produção de conhecimento e à formulação de políticas públicas.</w:t>
      </w:r>
    </w:p>
    <w:p w14:paraId="579ACAC4"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Assumir esse compromisso epistêmico significa recusar a reprodução de discursos que naturalizam desigualdades, ao mesmo tempo em que se aposta na potência de construir saberes comprometidos com a justiça social, a equidade e o reconhecimento das múltiplas formas de existência. Nesse horizonte, a articulação entre discurso, epistemologia feminista e pensamento </w:t>
      </w:r>
      <w:proofErr w:type="spellStart"/>
      <w:r w:rsidRPr="00141E08">
        <w:rPr>
          <w:rFonts w:ascii="Times New Roman" w:hAnsi="Times New Roman" w:cs="Times New Roman"/>
          <w:sz w:val="24"/>
          <w:szCs w:val="24"/>
        </w:rPr>
        <w:t>contra-hegemônico</w:t>
      </w:r>
      <w:proofErr w:type="spellEnd"/>
      <w:r w:rsidRPr="00141E08">
        <w:rPr>
          <w:rFonts w:ascii="Times New Roman" w:hAnsi="Times New Roman" w:cs="Times New Roman"/>
          <w:sz w:val="24"/>
          <w:szCs w:val="24"/>
        </w:rPr>
        <w:t xml:space="preserve"> não é apenas uma escolha metodológica: é um gesto ético e político de resistência. Um gesto que visa desvelar silêncios, desafiar hierarquias e afirmar outros modos possíveis de saber, existir e cuidar.</w:t>
      </w:r>
    </w:p>
    <w:p w14:paraId="6861B14B" w14:textId="77777777" w:rsidR="0008441B" w:rsidRPr="00141E08" w:rsidRDefault="0008441B" w:rsidP="00141E08">
      <w:pPr>
        <w:ind w:firstLineChars="125" w:firstLine="300"/>
        <w:jc w:val="both"/>
        <w:rPr>
          <w:rFonts w:ascii="Times New Roman" w:hAnsi="Times New Roman" w:cs="Times New Roman"/>
          <w:sz w:val="24"/>
          <w:szCs w:val="24"/>
        </w:rPr>
      </w:pPr>
    </w:p>
    <w:p w14:paraId="06DB8043" w14:textId="77777777" w:rsidR="0008441B" w:rsidRPr="00141E08" w:rsidRDefault="0008441B" w:rsidP="00141E08">
      <w:pPr>
        <w:pStyle w:val="PargrafodaLista"/>
        <w:numPr>
          <w:ilvl w:val="0"/>
          <w:numId w:val="1"/>
        </w:numPr>
        <w:ind w:left="567" w:hanging="567"/>
        <w:rPr>
          <w:b/>
          <w:bCs/>
        </w:rPr>
      </w:pPr>
      <w:r w:rsidRPr="00141E08">
        <w:rPr>
          <w:b/>
          <w:bCs/>
        </w:rPr>
        <w:t>Relações de poder, patriarcado e direitos sexuais e reprodutivos sob a perspectiva feminista</w:t>
      </w:r>
    </w:p>
    <w:p w14:paraId="2DD4410A" w14:textId="77777777" w:rsidR="0008441B" w:rsidRPr="00141E08" w:rsidRDefault="0008441B" w:rsidP="00141E08">
      <w:pPr>
        <w:ind w:firstLineChars="709" w:firstLine="1702"/>
        <w:jc w:val="both"/>
        <w:rPr>
          <w:rFonts w:ascii="Times New Roman" w:hAnsi="Times New Roman" w:cs="Times New Roman"/>
          <w:sz w:val="24"/>
          <w:szCs w:val="24"/>
        </w:rPr>
      </w:pPr>
    </w:p>
    <w:p w14:paraId="42CFE709"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Não é recente a tentativa de justificar a suposta inferioridade das mulheres através dos discursos religiosos, filosóficos, teológicos e até científicos (BEAUVOIR,2016</w:t>
      </w:r>
      <w:proofErr w:type="gramStart"/>
      <w:r w:rsidRPr="00141E08">
        <w:rPr>
          <w:rFonts w:ascii="Times New Roman" w:hAnsi="Times New Roman" w:cs="Times New Roman"/>
          <w:sz w:val="24"/>
          <w:szCs w:val="24"/>
        </w:rPr>
        <w:t>a;b</w:t>
      </w:r>
      <w:proofErr w:type="gramEnd"/>
      <w:r w:rsidRPr="00141E08">
        <w:rPr>
          <w:rFonts w:ascii="Times New Roman" w:hAnsi="Times New Roman" w:cs="Times New Roman"/>
          <w:sz w:val="24"/>
          <w:szCs w:val="24"/>
        </w:rPr>
        <w:t>; WOLLSTONECRAFT,2016). Essas estratégias históricas de dominação ganharam novas formas com o avanço de discursos ultraconservadores, que hoje se expandem de maneira significativa tanto no cenário político internacional quanto no nacional</w:t>
      </w:r>
    </w:p>
    <w:p w14:paraId="3CDF2C45"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Esse contexto tem resultado em retrocessos concretos em políticas públicas — especialmente aquelas voltadas aos direitos e à saúde sexual e reprodutiva das mulheres. No Brasil, em especial entre os anos de 2019 e 2022, a conjuntura política colocou em xeque a consolidação dos direitos humanos. Essa fragilidade foi alimentada por uma retórica nacionalista, sustentada nos valores da chamada “família tradicional” e por convicções religiosas, sobretudo de matriz cristã — ainda que o Estado brasileiro seja, constitucionalmente, laico (BRANDÃO, CABRAL, 2019; BASTOS; VENTURA; BRANDÃO, 2017; XAVIER; ROSATO, 2016; MILLER </w:t>
      </w:r>
      <w:r w:rsidRPr="00141E08">
        <w:rPr>
          <w:rFonts w:ascii="Times New Roman" w:hAnsi="Times New Roman" w:cs="Times New Roman"/>
          <w:i/>
          <w:iCs/>
          <w:sz w:val="24"/>
          <w:szCs w:val="24"/>
        </w:rPr>
        <w:t>et al.</w:t>
      </w:r>
      <w:r w:rsidRPr="00141E08">
        <w:rPr>
          <w:rFonts w:ascii="Times New Roman" w:hAnsi="Times New Roman" w:cs="Times New Roman"/>
          <w:sz w:val="24"/>
          <w:szCs w:val="24"/>
        </w:rPr>
        <w:t>, 2015).</w:t>
      </w:r>
    </w:p>
    <w:p w14:paraId="58B23166"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Diante desse cenário e considerando a luta histórica e contemporânea protagonizada por mulheres e seus aliados/es, torna-se urgente que as questões de gênero e sexualidade ocupem lugar central na agenda democrática brasileira (BRANDÃO; CABRAL, 2019).</w:t>
      </w:r>
    </w:p>
    <w:p w14:paraId="471E0A32"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Para compreender essas questões, é essencial lembrar que a sexualidade constitui um dos elementos estruturantes do patriarcado (SAFFIOTI, 2004). Embora seja uma construção que se consolida a partir do século XVIII, para Foucault, é no século XX que a sexualidade se torna objeto de um investimento político sistemático, funcionando como uma tecnologia de controle utilizada pelo Estado. Esse processo contribui para a consolidação do conceito de "biopolítica", entendido como uma estratégia de gestão da vida que visa qualificar, medir, avaliar e hierarquizar as populações. Desde o século XIX, a biopolítica passou a ocupar uma posição estratégica nas dinâmicas políticas, econômicas e morais, representando o ponto de interseção entre dois eixos centrais do exercício do poder: o biopoder e a própria biopolítica (FOUCAULT, 2006; 2010).</w:t>
      </w:r>
    </w:p>
    <w:p w14:paraId="6679E878"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Esses eixos centrais se referem às tecnologias disciplinares que regulam tanto os corpos individuais quanto as populações. Enquanto o micropoder atua/atuava sobre corpos de forma individualizada — moldando condutas e hábitos —, a biopolítica passa/passou a regular em larga escala, por meio de estatísticas, intervenções públicas e regulações que incidem sobre o corpo social como todo ou a grupos populacionais específicos (FOUCAULT, 2010).</w:t>
      </w:r>
    </w:p>
    <w:p w14:paraId="6DD8284B"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Nesse contexto, compreende-se que o controle da sexualidade — especialmente da sexualidade feminina — não se dá apenas por meio da repressão direta, mas também pela produção de discursos normativos que naturalizam papéis sociais e corporais. A atuação do biopoder e da biopolítica reforça a noção de que os corpos devem ser regulados conforme interesses morais, econômicos e políticos. É justamente a partir dessa lógica que se constrói um discurso dominante que homogeneíza os conceitos de direitos sexuais e saúde sexual e reprodutiva, vinculando-os exclusivamente à função reprodutiva da mulher.</w:t>
      </w:r>
    </w:p>
    <w:p w14:paraId="188ECA3F"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lastRenderedPageBreak/>
        <w:t xml:space="preserve">O discurso dominante tende a conceituar de forma homogênea os direitos e a saúde sexual e reprodutiva, sustentando, há séculos, a associação exclusiva da sexualidade à reprodução, e consequentemente, à maternidade (BEAUVOIR, 2016A; WOLLSTONECRAFT,2016; DAVIS,2016; VIERA, 2002).  Em contrapartida, a teorização feminista propõe a dissociação e diferenciação desses termos, reconhecendo que, embora interligados, seus os conceitos e práticas se diferenciam, em especial, quando se discutem os direitos das mulheres em políticas públicas que visam superar a estrutura patriarcal e sexista da sociedade. </w:t>
      </w:r>
    </w:p>
    <w:p w14:paraId="38F1963F"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Essa dissociação proposta pelas epistemologias feministas também permite uma compreensão crítica das estruturas que historicamente sustentam a opressão de gênero. Entre elas, destaca-se o patriarcado, cuja análise é indispensável para refletir sobre os limites impostos ao exercício dos direitos sexuais e reprodutivos.</w:t>
      </w:r>
    </w:p>
    <w:p w14:paraId="271DD40B"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O patriarcado configura-se como um sistema de dominação e exploração das mulheres pelos homens, no qual a violência, a opressão e a submissão se tornam destinos socialmente construídos para os corpos femininos (TIBURI, 2018; SAFFIOTI, 2004). Esse poder patriarcal manifesta-se “não apenas [nas] leis e através das desigualdades econômicas, mas também nas relações sociais”, permeando diversas esferas da vida (</w:t>
      </w:r>
      <w:proofErr w:type="spellStart"/>
      <w:r w:rsidRPr="00141E08">
        <w:rPr>
          <w:rFonts w:ascii="Times New Roman" w:hAnsi="Times New Roman" w:cs="Times New Roman"/>
          <w:sz w:val="24"/>
          <w:szCs w:val="24"/>
        </w:rPr>
        <w:t>McLAREN</w:t>
      </w:r>
      <w:proofErr w:type="spellEnd"/>
      <w:r w:rsidRPr="00141E08">
        <w:rPr>
          <w:rFonts w:ascii="Times New Roman" w:hAnsi="Times New Roman" w:cs="Times New Roman"/>
          <w:sz w:val="24"/>
          <w:szCs w:val="24"/>
        </w:rPr>
        <w:t xml:space="preserve">, 2016, p.219).  </w:t>
      </w:r>
    </w:p>
    <w:p w14:paraId="3E5C65B7"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Em sociedades estruturadas sob essa lógica, o direito ao próprio corpo torna-se uma reivindicação radical. Exigir autonomia e liberdade corporal — seja no que diz respeito à sexualidade, à reprodução ou à liberdade de existir fora das normas — representa um enfrentamento direto às bases do poder patriarcal. É nesse horizonte que os feminismos propõem uma ruptura: lutar por um "mundo em que os corpos e [...] a dignidade das pessoas possa ser resgatada” (TIBURI, 2018, p. 37).</w:t>
      </w:r>
    </w:p>
    <w:p w14:paraId="79B6EE66"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A luta feminista por dignidade e autonomia dos corpos ganhou reconhecimento internacional na IV Conferência Mundial sobre a Mulher, realizada pela Organização das Nações Unidas (ONU) em 1995, na cidade de Pequim. Na ocasião, foi reafirmado que os direitos humanos são, necessariamente, também os direitos das mulheres — o que inclui o controle sobre a sexualidade, a saúde sexual e reprodutiva, e o direito de tomar decisões livres de coerção, discriminação e violência (ONU, 1995). Apesar desse marco, a realidade vivida por milhões de mulheres permanece atravessada por barreiras estruturais, como a dependência econômica, a pauperização, e as múltiplas formas de violência e discriminação racial e de gênero (ONU, 1995; XAVIER; ROSATO, 2016), o que limita o exercício pleno da autonomia sexual e reprodutiva.</w:t>
      </w:r>
    </w:p>
    <w:p w14:paraId="79E4C5D9"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A Declaração de Pequim também representou um avanço ao deslocar as noções de saúde sexual e reprodutiva da perspectiva hegemônica e </w:t>
      </w:r>
      <w:proofErr w:type="spellStart"/>
      <w:r w:rsidRPr="00141E08">
        <w:rPr>
          <w:rFonts w:ascii="Times New Roman" w:hAnsi="Times New Roman" w:cs="Times New Roman"/>
          <w:sz w:val="24"/>
          <w:szCs w:val="24"/>
        </w:rPr>
        <w:t>biologicista</w:t>
      </w:r>
      <w:proofErr w:type="spellEnd"/>
      <w:r w:rsidRPr="00141E08">
        <w:rPr>
          <w:rFonts w:ascii="Times New Roman" w:hAnsi="Times New Roman" w:cs="Times New Roman"/>
          <w:sz w:val="24"/>
          <w:szCs w:val="24"/>
        </w:rPr>
        <w:t>, passando a enfatizar as relações de gênero e poder que permeiam as dinâmicas sociais. A diferenciação conceitual entre saúde e direitos sexuais e reprodutivos, nesse contexto, ampliou a compreensão desses temas como centrais à cidadania e à justiça social.</w:t>
      </w:r>
    </w:p>
    <w:p w14:paraId="58870D57"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Trata-se de um reconhecimento tardio, mas fundamental, da centralidade dessas demandas. Ao serem oficialmente incorporados à agenda internacional como parte dos direitos humanos, os direitos das mulheres desafiaram as estruturas epistemológicas tradicionais. Esse processo exige, como aponta </w:t>
      </w:r>
      <w:proofErr w:type="spellStart"/>
      <w:r w:rsidRPr="00141E08">
        <w:rPr>
          <w:rFonts w:ascii="Times New Roman" w:hAnsi="Times New Roman" w:cs="Times New Roman"/>
          <w:sz w:val="24"/>
          <w:szCs w:val="24"/>
        </w:rPr>
        <w:t>Saffioti</w:t>
      </w:r>
      <w:proofErr w:type="spellEnd"/>
      <w:r w:rsidRPr="00141E08">
        <w:rPr>
          <w:rFonts w:ascii="Times New Roman" w:hAnsi="Times New Roman" w:cs="Times New Roman"/>
          <w:sz w:val="24"/>
          <w:szCs w:val="24"/>
        </w:rPr>
        <w:t xml:space="preserve"> (2004), uma revisão da linguagem </w:t>
      </w:r>
      <w:r w:rsidRPr="00141E08">
        <w:rPr>
          <w:rFonts w:ascii="Times New Roman" w:hAnsi="Times New Roman" w:cs="Times New Roman"/>
          <w:sz w:val="24"/>
          <w:szCs w:val="24"/>
        </w:rPr>
        <w:lastRenderedPageBreak/>
        <w:t>como “fenômeno social, e, portanto, sujeito permanentemente a mudanças”, o que reforça a necessidade urgente de “criar novas palavras, que expurguem o sexismo” e ampliem a compreensão sobre as experiências e direitos das mulheres (SAFFIOTI, 2004, p. 48).</w:t>
      </w:r>
    </w:p>
    <w:p w14:paraId="5017B804"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A linguagem sexista atua como ferramenta de manutenção das desigualdades de gênero, pois perpetua e reforça papéis sexuais e sociais tradicionais. Esses papéis estão intimamente ligados à lógica da heteronormatividade, a qual naturaliza crenças hierárquicas e legitima a desigualdade entre os grupos sociais (XAVIER; ROSATO, 2016; DOUGLAS; SUTTON, 2014; ONU, 1995). Sob essa ótica, as epistemologias feministas propõem romper com a narrativa histórica que associa a sexualidade feminina à sua suposta "“... potencialidade patológica relacionada aos desvios das normas que restringem o papel da mulher ao papel da reprodutora”. Tal desvio é frequentemente interpretado como “doença” — “doença está com alto grau de significado moral e social, estreitamente relacionada à criminalidade” (VIERA, 2002, p. 41).</w:t>
      </w:r>
    </w:p>
    <w:p w14:paraId="38FB637F"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Por tanto, cabe elucidar que os direitos sexuais se relacionam diretamente ao princípio da autonomia de escolha: a liberdade de decidir se quer ou não manter relações sexuais, com quem, em que circunstâncias, e com quantos(as/es) parceiros(as/es). Tais decisões devem estar livres de qualquer forma de coerção, discriminação ou censura imposta pela norma heterossexual dominante (XAVIER; ROSATO, 2016). Todavia, na realidade concreta, esse movimento de escolhas e de exercício de liberdade é cerceada por mecanismos de poder que perseguem, classificam e reprimem as sexualidades consideras “errantes”, “desviantes” ou “improdutivas” (FOUCAULT, 2010) as sexualidades que fogem ao modelo hegemônico. Assim, sobre o pretexto de preservar a ‘ordem natural da vida’, em outros termos, restringindo-se à norma do casamento heterossexual e à reprodução como como destino natural, único e legítimo para as mulheres.</w:t>
      </w:r>
    </w:p>
    <w:p w14:paraId="1F24C426"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Para além dessa lógica de poder que sustenta o sistema patriarcal, os direitos reprodutivos articulam-se com o princípio da liberdade de escolha sobre a maternidade e a paternidade. Isso inclui o acesso e acessibilidade a serviços públicos de saúde, a métodos contraceptivos, e a informações seguras e adequadas sobre o planejamento familiar, bem como uma assistência e ao acompanhamento de qualidade durante a fase gravídico-puerperal (ONU, 1995). </w:t>
      </w:r>
    </w:p>
    <w:p w14:paraId="6085A471"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Trata-se, portanto, de um direito fundamental para a emancipação dos sujeitos, especialmente no que se refere ao controle da natalidade. Essa emancipação não deve ser confundida com instrumento de controle populacional (FOUCAULT, 2010), nem com práticas de coerção ou genocídio racial e étnico (DAVIS, 2016; BAKARE; GENTZ, 2020), mas sim entendida como um processo de decisão autônoma. Esse processo inclui o direito ao acesso a contraceptivos seguros, à realização do aborto em condições legais e seguras quando necessário, e à plena liberdade reprodutiva (DAVIS, 2016; HOOKS, 2019).</w:t>
      </w:r>
    </w:p>
    <w:p w14:paraId="02027D90"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Em síntese, a saúde reprodutiva envolve técnicas, métodos e serviços destinados a prevenir e solucionar questões relacionadas ao ciclo reprodutivo, promovendo saúde e o bem-estar das pessoas.  Já a saúde sexual ultrapassa a visão restrita à reprodução e às </w:t>
      </w:r>
      <w:r w:rsidRPr="00141E08">
        <w:rPr>
          <w:rFonts w:ascii="Times New Roman" w:hAnsi="Times New Roman" w:cs="Times New Roman"/>
          <w:sz w:val="24"/>
          <w:szCs w:val="24"/>
        </w:rPr>
        <w:lastRenderedPageBreak/>
        <w:t xml:space="preserve">infecções sexualmente transmissíveis, buscando fortalecer a qualidade de vida nas relações interpessoais de forma ampla (ONU, 1995; XAVIER; ROSATO, 2016). </w:t>
      </w:r>
    </w:p>
    <w:p w14:paraId="3497B01D"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Entretanto, múltiplas barreiras limitam o acesso de mulheres e meninas à saúde sexual e reprodutiva em todo mundo. Entre elas, destacam-se falta de informações e serviços adequados, a persistências das práticas sociais discriminatórias (ONU, 1995), a invisibilização física, social e o silenciamento dos grupos excluídos ou marginalizados (HERZOG, 2018). Além disso, soma-se as práticas coercitivas, como a esterilização forçada, usadas como instrumentos de regulação populacional (BAKARE; GENTZ, 2020; DAVIS, 2016), revelando a continuidade das estruturas patriarcais na sociedade e nas instituições estatais (</w:t>
      </w:r>
      <w:proofErr w:type="spellStart"/>
      <w:r w:rsidRPr="00141E08">
        <w:rPr>
          <w:rFonts w:ascii="Times New Roman" w:hAnsi="Times New Roman" w:cs="Times New Roman"/>
          <w:sz w:val="24"/>
          <w:szCs w:val="24"/>
        </w:rPr>
        <w:t>Saffioti</w:t>
      </w:r>
      <w:proofErr w:type="spellEnd"/>
      <w:r w:rsidRPr="00141E08">
        <w:rPr>
          <w:rFonts w:ascii="Times New Roman" w:hAnsi="Times New Roman" w:cs="Times New Roman"/>
          <w:sz w:val="24"/>
          <w:szCs w:val="24"/>
        </w:rPr>
        <w:t>, 2004).</w:t>
      </w:r>
    </w:p>
    <w:p w14:paraId="3A4C2839"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Em virtude dos fatos mencionados, nota-se que a centralidade das estruturas formais e informais sustentam e reproduzem as desigualdades de gênero e as hierarquias sociais. Seja, pelo patriarcado como forma de expressão do poder político (SAFFIOTI, 2004), seja na forma como a organização do poder incide sobre a vida por meio de um feixe de relações que controlam o corpo, ora percebido como máquina, ora como corpo-espécie (FOUCAULT, 2010). </w:t>
      </w:r>
    </w:p>
    <w:p w14:paraId="16AFDB77"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Segundo Foucault (2010), o corpo-máquina é disciplinado para o controle econômico, adestramento e ajustamento populacional por meio das técnicas anátomo-políticas, sendo instrumento essencial para a reprodução dos sistemas sociais. Em outras palavras, o corpo passa ser apercebido como instrumento fundamental para a (</w:t>
      </w:r>
      <w:proofErr w:type="spellStart"/>
      <w:r w:rsidRPr="00141E08">
        <w:rPr>
          <w:rFonts w:ascii="Times New Roman" w:hAnsi="Times New Roman" w:cs="Times New Roman"/>
          <w:sz w:val="24"/>
          <w:szCs w:val="24"/>
        </w:rPr>
        <w:t>re</w:t>
      </w:r>
      <w:proofErr w:type="spellEnd"/>
      <w:r w:rsidRPr="00141E08">
        <w:rPr>
          <w:rFonts w:ascii="Times New Roman" w:hAnsi="Times New Roman" w:cs="Times New Roman"/>
          <w:sz w:val="24"/>
          <w:szCs w:val="24"/>
        </w:rPr>
        <w:t xml:space="preserve">)produção em cadeia dos sistemas que estruturam e sustentam a sociedade. O corpo-espécie, por sua vez, refere-se à regulação biopolítica das populações, que intervém em indicadores como natalidade, mortalidade e condições gerais de saúde. (FOUCAULT, 2010). </w:t>
      </w:r>
    </w:p>
    <w:p w14:paraId="73832604"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Diante disso, é fundamental refletir sobre como o biopoder atravessa o corpo, a vida e a sexualidade das mulheres, sobretudo daquelas que situação de marginalização, expondo-as a múltiplas formas de vulnerabilidade e exclusão.</w:t>
      </w:r>
    </w:p>
    <w:p w14:paraId="095653BA" w14:textId="77777777" w:rsidR="0008441B" w:rsidRPr="00141E08" w:rsidRDefault="0008441B" w:rsidP="00141E08">
      <w:pPr>
        <w:jc w:val="both"/>
        <w:rPr>
          <w:rFonts w:ascii="Times New Roman" w:hAnsi="Times New Roman" w:cs="Times New Roman"/>
          <w:sz w:val="24"/>
          <w:szCs w:val="24"/>
        </w:rPr>
      </w:pPr>
    </w:p>
    <w:p w14:paraId="4FD6CC2E" w14:textId="77777777" w:rsidR="0008441B" w:rsidRPr="00141E08" w:rsidRDefault="0008441B" w:rsidP="00141E08">
      <w:pPr>
        <w:pStyle w:val="PargrafodaLista"/>
        <w:numPr>
          <w:ilvl w:val="0"/>
          <w:numId w:val="1"/>
        </w:numPr>
        <w:spacing w:after="0" w:line="360" w:lineRule="auto"/>
        <w:ind w:left="567" w:hanging="567"/>
        <w:rPr>
          <w:b/>
          <w:bCs/>
        </w:rPr>
      </w:pPr>
      <w:r w:rsidRPr="00141E08">
        <w:rPr>
          <w:b/>
          <w:bCs/>
        </w:rPr>
        <w:t>Ampliando a discussão sobre a regulação e controle dos corpos femininos</w:t>
      </w:r>
    </w:p>
    <w:p w14:paraId="7E63D0BB" w14:textId="77777777" w:rsidR="0008441B" w:rsidRPr="00141E08" w:rsidRDefault="0008441B" w:rsidP="00141E08">
      <w:pPr>
        <w:jc w:val="both"/>
        <w:rPr>
          <w:rFonts w:ascii="Times New Roman" w:hAnsi="Times New Roman" w:cs="Times New Roman"/>
          <w:sz w:val="24"/>
          <w:szCs w:val="24"/>
        </w:rPr>
      </w:pPr>
    </w:p>
    <w:p w14:paraId="564B95D6"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Contornando as ideologias </w:t>
      </w:r>
      <w:proofErr w:type="spellStart"/>
      <w:r w:rsidRPr="00141E08">
        <w:rPr>
          <w:rFonts w:ascii="Times New Roman" w:hAnsi="Times New Roman" w:cs="Times New Roman"/>
          <w:sz w:val="24"/>
          <w:szCs w:val="24"/>
        </w:rPr>
        <w:t>biologicistas</w:t>
      </w:r>
      <w:proofErr w:type="spellEnd"/>
      <w:r w:rsidRPr="00141E08">
        <w:rPr>
          <w:rFonts w:ascii="Times New Roman" w:hAnsi="Times New Roman" w:cs="Times New Roman"/>
          <w:sz w:val="24"/>
          <w:szCs w:val="24"/>
        </w:rPr>
        <w:t xml:space="preserve"> e a noção de suposta “natureza feminina” – que sustentam a imutabilidade do destino da mulher atrelado a maternidade, à hierarquia dos sexos e à imposição da condição de subordinação à mulher – Beauvoir (2016a; b) afirma que o corpo embora o corpo marque o lugar da mulher no mundo, ele não a define por completo — sobretudo quando reduzido a categorias exclusivamente naturais.</w:t>
      </w:r>
    </w:p>
    <w:p w14:paraId="2CC00EFB"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Nesse sentido, o corpo feminino é um constructo que adquire sentido nas relações sociais, nas experiências concretas e nos modos de subjetivação que atravessam a existência de cada mulher. Como aponta Beauvoir (2016a; b), a redução da mulher à sua função reprodutiva é uma estratégia de dominação simbólica e material que ignora a complexidade dos sentidos atribuídos socialmente ao feminino. A maternidade, embora possa ser uma escolha legítima, transforma-se em tecnologia de controle quando naturalizada como destino. Essa naturalização opera como mecanismo disciplinador dos corpos, regulando desejos, sexualidades e trajetórias de vida.</w:t>
      </w:r>
    </w:p>
    <w:p w14:paraId="5F0B7DA9"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lastRenderedPageBreak/>
        <w:t xml:space="preserve">A partir desta afirmação, pode-se refletir-se que, o corpo social das mulheres é fortemente marcado pela capacidade geradora, logo a centralidade da maternidade como instrumento de regulação se articula, portanto, com um projeto político mais amplo de normalização dos corpos. Essa lógica não apenas regula a sexualidade e reprodução, mas também sustenta as desigualdades e iniquidades de gênero ao se embasar em preceitos </w:t>
      </w:r>
      <w:proofErr w:type="spellStart"/>
      <w:r w:rsidRPr="00141E08">
        <w:rPr>
          <w:rFonts w:ascii="Times New Roman" w:hAnsi="Times New Roman" w:cs="Times New Roman"/>
          <w:sz w:val="24"/>
          <w:szCs w:val="24"/>
        </w:rPr>
        <w:t>biologicistas</w:t>
      </w:r>
      <w:proofErr w:type="spellEnd"/>
      <w:r w:rsidRPr="00141E08">
        <w:rPr>
          <w:rFonts w:ascii="Times New Roman" w:hAnsi="Times New Roman" w:cs="Times New Roman"/>
          <w:sz w:val="24"/>
          <w:szCs w:val="24"/>
        </w:rPr>
        <w:t xml:space="preserve"> e no sistema médico — hegemonicamente masculino — que historicamente monopolizou o saber e o poder sobre o corpo das mulheres.</w:t>
      </w:r>
    </w:p>
    <w:p w14:paraId="56E0AB5D"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 Essa forma de dominação, como demonstra Davis (2016), acaba por legitimar práticas coercitivas, particularmente invisíveis na violência institucional dirigida a mulheres pauperizadas e marginalizadas, evidenciada em práticas como cesarianas desnecessárias e histerectomias forçadas (HOOKS, 2019; DAVIS, 2016). Leal e colaboradores (2017), no artigo “A cor da dor”, apresentam dados concretos sobre as iniquidades raciais na atenção pré-natal e ao parto no Brasil, evidenciando como essas práticas discriminatórias afetam desproporcionalmente mulheres negras e pardas. A medicina, nesse contexto, não apenas atua como agente de intervenção biológica, mas também opera como um braço do Estado na manutenção de um projeto de ordem social que exclui e silencia. </w:t>
      </w:r>
    </w:p>
    <w:p w14:paraId="041AE901"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Em contraponto são essas intervenções que fazem parte “do conjunto de concepções através das quais a identidade de gênero e divisão sexual trabalho são construídas no interior da sociedade capitalista” (VIERA, 2000, p. 32). Ângela Davis (2016, p. 206) reafirmar que “o desejo das mulheres de controlar seu sistema reprodutivo é provavelmente tão antigo quanto a própria </w:t>
      </w:r>
      <w:proofErr w:type="gramStart"/>
      <w:r w:rsidRPr="00141E08">
        <w:rPr>
          <w:rFonts w:ascii="Times New Roman" w:hAnsi="Times New Roman" w:cs="Times New Roman"/>
          <w:sz w:val="24"/>
          <w:szCs w:val="24"/>
        </w:rPr>
        <w:t>história da humanidade</w:t>
      </w:r>
      <w:proofErr w:type="gramEnd"/>
      <w:r w:rsidRPr="00141E08">
        <w:rPr>
          <w:rFonts w:ascii="Times New Roman" w:hAnsi="Times New Roman" w:cs="Times New Roman"/>
          <w:sz w:val="24"/>
          <w:szCs w:val="24"/>
        </w:rPr>
        <w:t>” (DAVIS, 2016, p.206). Mas, o quanto perigoso seria/será este controle, considerado uma ameaça ao status quo?</w:t>
      </w:r>
    </w:p>
    <w:p w14:paraId="17697327"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É nesse ponto que a crítica feminista intersecciona com a genealogia foucaultiana. Foucault (2010) nos alerta que a sexualidade não é apenas um campo de experiências privadas, mas um dispositivo estratégico do poder. O controle dos corpos, especialmente os femininos, é um eixo em torno do qual se articulam políticas públicas, discursos institucionais e práticas normativas. A sexualidade se torna, assim, um território de disputa, onde a liberdade das mulheres colide com os imperativos da biopolítica: controlar a vida, gerir a reprodução e moldar a população (FOUCAULT 2010;2006).</w:t>
      </w:r>
    </w:p>
    <w:p w14:paraId="437363F4"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A dominação sobre os corpos femininos não é acidental ou episódica; ela é estrutural. </w:t>
      </w:r>
      <w:proofErr w:type="spellStart"/>
      <w:r w:rsidRPr="00141E08">
        <w:rPr>
          <w:rFonts w:ascii="Times New Roman" w:hAnsi="Times New Roman" w:cs="Times New Roman"/>
          <w:sz w:val="24"/>
          <w:szCs w:val="24"/>
        </w:rPr>
        <w:t>Saffioti</w:t>
      </w:r>
      <w:proofErr w:type="spellEnd"/>
      <w:r w:rsidRPr="00141E08">
        <w:rPr>
          <w:rFonts w:ascii="Times New Roman" w:hAnsi="Times New Roman" w:cs="Times New Roman"/>
          <w:sz w:val="24"/>
          <w:szCs w:val="24"/>
        </w:rPr>
        <w:t xml:space="preserve"> (2004) e Foucault convergem ao evidenciar a sexualidade como instrumento nuclear do patriarcado, cuja centralidade se manifesta nos dispositivos de poder que orientam, em grande parte, as operações políticas, as intervenções econômicas e as campanhas ideológicas do Estado, todas direcionada à reprodução social. Bem como atua sobre os corpos de maneira capilar, agindo nos detalhes, no cotidiano, e nas escolhas mais íntimas das mulheres. Isso significa que a opressão de gênero não se manifesta apenas nas grandes instituições, mas também nos micropoderes que organizam relações familiares, normas morais, políticas de saúde e representações culturais.</w:t>
      </w:r>
    </w:p>
    <w:p w14:paraId="3CCE57BD" w14:textId="77777777" w:rsidR="0008441B" w:rsidRPr="00141E08" w:rsidRDefault="0008441B" w:rsidP="00141E08">
      <w:pPr>
        <w:ind w:firstLine="709"/>
        <w:jc w:val="both"/>
        <w:rPr>
          <w:rFonts w:ascii="Times New Roman" w:hAnsi="Times New Roman" w:cs="Times New Roman"/>
          <w:sz w:val="24"/>
          <w:szCs w:val="24"/>
        </w:rPr>
      </w:pPr>
      <w:r w:rsidRPr="00141E08">
        <w:rPr>
          <w:rFonts w:ascii="Times New Roman" w:hAnsi="Times New Roman" w:cs="Times New Roman"/>
          <w:sz w:val="24"/>
          <w:szCs w:val="24"/>
        </w:rPr>
        <w:t xml:space="preserve">Nesse cenário, o direito ao controle da natalidade emerge como um ponto de inflexão crítica. Para </w:t>
      </w:r>
      <w:proofErr w:type="spellStart"/>
      <w:r w:rsidRPr="00141E08">
        <w:rPr>
          <w:rFonts w:ascii="Times New Roman" w:hAnsi="Times New Roman" w:cs="Times New Roman"/>
          <w:sz w:val="24"/>
          <w:szCs w:val="24"/>
        </w:rPr>
        <w:t>hooks</w:t>
      </w:r>
      <w:proofErr w:type="spellEnd"/>
      <w:r w:rsidRPr="00141E08">
        <w:rPr>
          <w:rFonts w:ascii="Times New Roman" w:hAnsi="Times New Roman" w:cs="Times New Roman"/>
          <w:sz w:val="24"/>
          <w:szCs w:val="24"/>
        </w:rPr>
        <w:t xml:space="preserve"> (2019) e Davis (2016), o acesso a métodos contraceptivos, a possibilidade do aborto seguro e legal, e a autonomia sobre o próprio corpo são pré-</w:t>
      </w:r>
      <w:r w:rsidRPr="00141E08">
        <w:rPr>
          <w:rFonts w:ascii="Times New Roman" w:hAnsi="Times New Roman" w:cs="Times New Roman"/>
          <w:sz w:val="24"/>
          <w:szCs w:val="24"/>
        </w:rPr>
        <w:lastRenderedPageBreak/>
        <w:t xml:space="preserve">requisitos para a emancipação feminina. No entanto, esse direito continua sendo sistematicamente negado, sobretudo às mulheres marginalizadas (BARBOSA, 2018; BISCOTTO </w:t>
      </w:r>
      <w:r w:rsidRPr="00141E08">
        <w:rPr>
          <w:rFonts w:ascii="Times New Roman" w:hAnsi="Times New Roman" w:cs="Times New Roman"/>
          <w:i/>
          <w:iCs/>
          <w:sz w:val="24"/>
          <w:szCs w:val="24"/>
        </w:rPr>
        <w:t>et al</w:t>
      </w:r>
      <w:r w:rsidRPr="00141E08">
        <w:rPr>
          <w:rFonts w:ascii="Times New Roman" w:hAnsi="Times New Roman" w:cs="Times New Roman"/>
          <w:sz w:val="24"/>
          <w:szCs w:val="24"/>
        </w:rPr>
        <w:t>., 2016). Perpetuando subordinação feminina por meio da articulação entre as disciplinas do corpo e a regulação das populações, exercidas através dos micropoderes que subjugam corpos e intervêm em grupos populacionais (FOUCAULT, 2010). Que por fim, um projeto perverso de biopolítica e necropolítica que, enquanto concede direitos a algumas, intensifica a vigilância e a punição sobre outras.</w:t>
      </w:r>
    </w:p>
    <w:p w14:paraId="5308CE2B"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A situação das mulheres em situação de rua escancara essa lógica de exclusão seletiva. Elas não apenas enfrentam a precariedade material e a violência cotidiana, mas também a negação simbólica de sua existência, do direito de exercer sua sexualidade e maternidade com dignidade. Seus corpos são vistos como descartáveis, suas existências como desvios. A sociedade — atravessada por lógicas capitalistas, patriarcais e neoliberais — nega a essas mulheres o direito à maternidade plena ao mesmo tempo que as estigmatiza por gestar ou maternar sob condições que ela mesma impõe.</w:t>
      </w:r>
    </w:p>
    <w:p w14:paraId="13DA1FAA"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Como bem observa McLaren (2016), tanto a crítica feminista quanto Foucault convergem na recusa ao dualismo mente/corpo, reconhecendo o corpo como lugar de disputa política e constituição subjetiva. O corpo, especialmente o corpo feminino marginalizado, é onde se materializam os efeitos das normas patriarcais: é ali que se imprime a violência simbólica e institucional, é ali que se disputa a soberania sobre a vida.</w:t>
      </w:r>
    </w:p>
    <w:p w14:paraId="31FD80A5"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Refletir sobre o corpo da mulher em situação de rua, portanto, exige ir além da denúncia das vulnerabilidades: é necessário desnaturalizar os processos que produzem essas condições. É preciso expor os mecanismos que articulam exclusão, dominação e invisibilidade, e compreender como o biopoder opera sobre essas vidas que, à luz da racionalidade neoliberal, são consideradas descartáveis.</w:t>
      </w:r>
    </w:p>
    <w:p w14:paraId="653D0325" w14:textId="77777777" w:rsidR="0008441B" w:rsidRPr="00141E08" w:rsidRDefault="0008441B" w:rsidP="00141E08">
      <w:pPr>
        <w:ind w:firstLineChars="295" w:firstLine="708"/>
        <w:jc w:val="both"/>
        <w:rPr>
          <w:rFonts w:ascii="Times New Roman" w:hAnsi="Times New Roman" w:cs="Times New Roman"/>
          <w:sz w:val="24"/>
          <w:szCs w:val="24"/>
        </w:rPr>
      </w:pPr>
    </w:p>
    <w:p w14:paraId="70AE8E09" w14:textId="77777777" w:rsidR="0008441B" w:rsidRPr="00141E08" w:rsidRDefault="0008441B" w:rsidP="00141E08">
      <w:pPr>
        <w:pStyle w:val="PargrafodaLista"/>
        <w:numPr>
          <w:ilvl w:val="0"/>
          <w:numId w:val="1"/>
        </w:numPr>
        <w:ind w:left="567" w:hanging="567"/>
        <w:rPr>
          <w:b/>
          <w:bCs/>
        </w:rPr>
      </w:pPr>
      <w:proofErr w:type="spellStart"/>
      <w:r w:rsidRPr="00141E08">
        <w:rPr>
          <w:b/>
          <w:bCs/>
        </w:rPr>
        <w:t>Bio-necropolítica</w:t>
      </w:r>
      <w:proofErr w:type="spellEnd"/>
      <w:r w:rsidRPr="00141E08">
        <w:rPr>
          <w:b/>
          <w:bCs/>
        </w:rPr>
        <w:t xml:space="preserve"> e mulheres em situação de rua: algumas pontuações </w:t>
      </w:r>
    </w:p>
    <w:p w14:paraId="738BE92D" w14:textId="77777777" w:rsidR="0008441B" w:rsidRPr="00141E08" w:rsidRDefault="0008441B" w:rsidP="00141E08">
      <w:pPr>
        <w:ind w:firstLineChars="709" w:firstLine="1702"/>
        <w:jc w:val="both"/>
        <w:rPr>
          <w:rFonts w:ascii="Times New Roman" w:hAnsi="Times New Roman" w:cs="Times New Roman"/>
          <w:sz w:val="24"/>
          <w:szCs w:val="24"/>
        </w:rPr>
      </w:pPr>
    </w:p>
    <w:p w14:paraId="597D5191"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A partir da concepção de biopoder formulada por Michel Foucault (2010; 2008a), compreendida como "o conjunto dos mecanismos pelos quais aquilo que, na espécie humana, constitui suas características biológicas fundamentais, vai poder entrar numa política, numa estratégia política, numa estratégia geral do poder" (FOUCAULT, 2008a, p. 3), entende-se que o exercício do poder moderno — especialmente após a consolidação do capitalismo e do Estado-nação — deixou de se basear exclusivamente na soberania sobre a morte para se orientar pela administração estratégica da vida. </w:t>
      </w:r>
    </w:p>
    <w:p w14:paraId="37AF0902"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Nesse novo arranjo, as técnicas disciplinares, articuladas à vigilância dos corpos e ao controle das populações, tornam-se instrumentos centrais para a regulação das condutas sociais. Os corpos femininos, sobretudo aqueles </w:t>
      </w:r>
      <w:proofErr w:type="spellStart"/>
      <w:r w:rsidRPr="00141E08">
        <w:rPr>
          <w:rFonts w:ascii="Times New Roman" w:hAnsi="Times New Roman" w:cs="Times New Roman"/>
          <w:sz w:val="24"/>
          <w:szCs w:val="24"/>
        </w:rPr>
        <w:t>racializados</w:t>
      </w:r>
      <w:proofErr w:type="spellEnd"/>
      <w:r w:rsidRPr="00141E08">
        <w:rPr>
          <w:rFonts w:ascii="Times New Roman" w:hAnsi="Times New Roman" w:cs="Times New Roman"/>
          <w:sz w:val="24"/>
          <w:szCs w:val="24"/>
        </w:rPr>
        <w:t>, empobrecidos e que se desviam das normas hegemônicas, passam a ocupar um lugar privilegiado na engrenagem da dominação, sendo alvo constante de intervenções e controle.</w:t>
      </w:r>
    </w:p>
    <w:p w14:paraId="50F969B1" w14:textId="77777777" w:rsidR="0008441B" w:rsidRPr="00141E08" w:rsidRDefault="0008441B" w:rsidP="00141E08">
      <w:pPr>
        <w:ind w:firstLineChars="295" w:firstLine="708"/>
        <w:jc w:val="both"/>
        <w:rPr>
          <w:rFonts w:ascii="Times New Roman" w:hAnsi="Times New Roman" w:cs="Times New Roman"/>
          <w:sz w:val="24"/>
          <w:szCs w:val="24"/>
        </w:rPr>
      </w:pPr>
      <w:proofErr w:type="spellStart"/>
      <w:r w:rsidRPr="00141E08">
        <w:rPr>
          <w:rFonts w:ascii="Times New Roman" w:hAnsi="Times New Roman" w:cs="Times New Roman"/>
          <w:sz w:val="24"/>
          <w:szCs w:val="24"/>
        </w:rPr>
        <w:t>Federici</w:t>
      </w:r>
      <w:proofErr w:type="spellEnd"/>
      <w:r w:rsidRPr="00141E08">
        <w:rPr>
          <w:rFonts w:ascii="Times New Roman" w:hAnsi="Times New Roman" w:cs="Times New Roman"/>
          <w:sz w:val="24"/>
          <w:szCs w:val="24"/>
        </w:rPr>
        <w:t xml:space="preserve"> (2017) destaca que o corpo das mulheres foi historicamente capturado pelo Estado e subordinado à lógica da acumulação capitalista, com a reprodução sendo </w:t>
      </w:r>
      <w:r w:rsidRPr="00141E08">
        <w:rPr>
          <w:rFonts w:ascii="Times New Roman" w:hAnsi="Times New Roman" w:cs="Times New Roman"/>
          <w:sz w:val="24"/>
          <w:szCs w:val="24"/>
        </w:rPr>
        <w:lastRenderedPageBreak/>
        <w:t>colocada diretamente a serviço do capital. Davis (2016) complementa ao mostrar como esse controle se articulou à construção de imagens estigmatizantes sobre as mulheres negras — associadas à promiscuidade, imoralidade e incapacidade materna. Essa matriz racista é particularmente cruel ao se considerar que a população em situação de rua no Brasil é majoritariamente composta por pessoas negras e pardas (BRASIL, 2023).</w:t>
      </w:r>
    </w:p>
    <w:p w14:paraId="0B588E96"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Outrossim, tais estruturas interditam e anulam as mulheres em situação de rua enquanto sujeito de direitos e de desejos, considerando suas gestações e maternidades como reforço à marginalização, marginalidade e à pobreza (COSTA </w:t>
      </w:r>
      <w:r w:rsidRPr="00141E08">
        <w:rPr>
          <w:rFonts w:ascii="Times New Roman" w:hAnsi="Times New Roman" w:cs="Times New Roman"/>
          <w:i/>
          <w:iCs/>
          <w:sz w:val="24"/>
          <w:szCs w:val="24"/>
        </w:rPr>
        <w:t>et al.</w:t>
      </w:r>
      <w:r w:rsidRPr="00141E08">
        <w:rPr>
          <w:rFonts w:ascii="Times New Roman" w:hAnsi="Times New Roman" w:cs="Times New Roman"/>
          <w:sz w:val="24"/>
          <w:szCs w:val="24"/>
        </w:rPr>
        <w:t xml:space="preserve">, 2015; BARBOSA, 2018; BISCOTTO </w:t>
      </w:r>
      <w:r w:rsidRPr="00141E08">
        <w:rPr>
          <w:rFonts w:ascii="Times New Roman" w:hAnsi="Times New Roman" w:cs="Times New Roman"/>
          <w:i/>
          <w:iCs/>
          <w:sz w:val="24"/>
          <w:szCs w:val="24"/>
        </w:rPr>
        <w:t>et al</w:t>
      </w:r>
      <w:r w:rsidRPr="00141E08">
        <w:rPr>
          <w:rFonts w:ascii="Times New Roman" w:hAnsi="Times New Roman" w:cs="Times New Roman"/>
          <w:sz w:val="24"/>
          <w:szCs w:val="24"/>
        </w:rPr>
        <w:t>.,2016), perpetuando, assim, práticas eugenistas fincadas em preceitos racistas e pseudocientíficos (DAVIS, 2016).</w:t>
      </w:r>
    </w:p>
    <w:p w14:paraId="5F62B774"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O aparato normativo que regula as mulheres é intrinsecamente patriarcal, classista e </w:t>
      </w:r>
      <w:proofErr w:type="spellStart"/>
      <w:r w:rsidRPr="00141E08">
        <w:rPr>
          <w:rFonts w:ascii="Times New Roman" w:hAnsi="Times New Roman" w:cs="Times New Roman"/>
          <w:sz w:val="24"/>
          <w:szCs w:val="24"/>
        </w:rPr>
        <w:t>racializado</w:t>
      </w:r>
      <w:proofErr w:type="spellEnd"/>
      <w:r w:rsidRPr="00141E08">
        <w:rPr>
          <w:rFonts w:ascii="Times New Roman" w:hAnsi="Times New Roman" w:cs="Times New Roman"/>
          <w:sz w:val="24"/>
          <w:szCs w:val="24"/>
        </w:rPr>
        <w:t xml:space="preserve">. Como alerta Davis (2016), o que se apresenta como “direito” para as mulheres brancas e privilegiadas — como o controle de natalidade —, assume a forma de “dever” ou coerção para as mulheres pobres e negras. Em outras palavras, as mesmas instituições de poder que endossam e reproduzem, incessantemente, discursos enraizados na concepção de procriação e maternidade como destino inevitável da mulher (BEVOAUIR, 2016a), também encorajam, paradoxalmente, que mulheres de minorias étnicas se tornem inférteis (DAVIS, 2016) – voluntária ou involuntariamente. Essas tensões escancaram o funcionamento seletivo do biopoder: enquanto algumas mulheres são encorajadas a gestar e maternar, outras são sistematicamente desestimuladas, esterilizadas, invisibilizadas ou punidas por exercerem o desejo de serem mães, perpetuando, assim, práticas eugenistas fincadas em preceitos racistas e pseudocientíficos (DAVIS, 2016; COSTA </w:t>
      </w:r>
      <w:r w:rsidRPr="00141E08">
        <w:rPr>
          <w:rFonts w:ascii="Times New Roman" w:hAnsi="Times New Roman" w:cs="Times New Roman"/>
          <w:i/>
          <w:iCs/>
          <w:sz w:val="24"/>
          <w:szCs w:val="24"/>
        </w:rPr>
        <w:t>et al.</w:t>
      </w:r>
      <w:r w:rsidRPr="00141E08">
        <w:rPr>
          <w:rFonts w:ascii="Times New Roman" w:hAnsi="Times New Roman" w:cs="Times New Roman"/>
          <w:sz w:val="24"/>
          <w:szCs w:val="24"/>
        </w:rPr>
        <w:t>, 2015).</w:t>
      </w:r>
    </w:p>
    <w:p w14:paraId="6924C85C"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A mulher em situação de rua, nesse contexto, representa o ponto-limite da exclusão. Não apenas está fora das estruturas tradicionais de cuidado e proteção social, como também é vista como ameaça à ordem. Sua gestação, longe de ser acolhida como expressão de autonomia, é interpretada como evidência de desvio, reforçando sua marginalização e deslegitimando sua condição de sujeito de direitos (COSTA </w:t>
      </w:r>
      <w:r w:rsidRPr="00141E08">
        <w:rPr>
          <w:rFonts w:ascii="Times New Roman" w:hAnsi="Times New Roman" w:cs="Times New Roman"/>
          <w:i/>
          <w:iCs/>
          <w:sz w:val="24"/>
          <w:szCs w:val="24"/>
        </w:rPr>
        <w:t>et al.</w:t>
      </w:r>
      <w:r w:rsidRPr="00141E08">
        <w:rPr>
          <w:rFonts w:ascii="Times New Roman" w:hAnsi="Times New Roman" w:cs="Times New Roman"/>
          <w:sz w:val="24"/>
          <w:szCs w:val="24"/>
        </w:rPr>
        <w:t xml:space="preserve">, 2015; BARBOSA, 2019; BISCOTTO </w:t>
      </w:r>
      <w:r w:rsidRPr="00141E08">
        <w:rPr>
          <w:rFonts w:ascii="Times New Roman" w:hAnsi="Times New Roman" w:cs="Times New Roman"/>
          <w:i/>
          <w:iCs/>
          <w:sz w:val="24"/>
          <w:szCs w:val="24"/>
        </w:rPr>
        <w:t>et al</w:t>
      </w:r>
      <w:r w:rsidRPr="00141E08">
        <w:rPr>
          <w:rFonts w:ascii="Times New Roman" w:hAnsi="Times New Roman" w:cs="Times New Roman"/>
          <w:sz w:val="24"/>
          <w:szCs w:val="24"/>
        </w:rPr>
        <w:t>.,2016).</w:t>
      </w:r>
    </w:p>
    <w:p w14:paraId="43276EDA"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Neste emaranhado de matrizes de opressões, desconsidera-se a pluralidade das experiências femininas e a importância da interseccionalidade entre gênero, raça e classe, prevalecendo a idealização da sexualidade enquanto mero ato de reprodução.</w:t>
      </w:r>
    </w:p>
    <w:p w14:paraId="5AD47D95"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 A maternagem, por sua vez, é confinada e restrita ao contexto doméstico, perpetuando a chamada “a ideologia da feminilidade” ou ideal de feminilidade — cuidadosamente construído pela modernidade — associa a mulher à maternidade, à pureza e ao cuidado doméstico (BEAUVOIR, 2016A; WOLLSTONECRAFT, 2016; LEAL, 2000). No entanto, essa construção exclui as mulheres negras, pobres e sem moradia, que não se encaixam no modelo da mãe cuidadora burguesa e branca (SAWAIA, 2014a; DAVIS, 2016, p. 24; COSTA </w:t>
      </w:r>
      <w:r w:rsidRPr="00141E08">
        <w:rPr>
          <w:rFonts w:ascii="Times New Roman" w:hAnsi="Times New Roman" w:cs="Times New Roman"/>
          <w:i/>
          <w:iCs/>
          <w:sz w:val="24"/>
          <w:szCs w:val="24"/>
        </w:rPr>
        <w:t>et al.</w:t>
      </w:r>
      <w:r w:rsidRPr="00141E08">
        <w:rPr>
          <w:rFonts w:ascii="Times New Roman" w:hAnsi="Times New Roman" w:cs="Times New Roman"/>
          <w:sz w:val="24"/>
          <w:szCs w:val="24"/>
        </w:rPr>
        <w:t xml:space="preserve">, 2015; BARBOSA, 2019; BISCOTTO </w:t>
      </w:r>
      <w:r w:rsidRPr="00141E08">
        <w:rPr>
          <w:rFonts w:ascii="Times New Roman" w:hAnsi="Times New Roman" w:cs="Times New Roman"/>
          <w:i/>
          <w:iCs/>
          <w:sz w:val="24"/>
          <w:szCs w:val="24"/>
        </w:rPr>
        <w:t>et al</w:t>
      </w:r>
      <w:r w:rsidRPr="00141E08">
        <w:rPr>
          <w:rFonts w:ascii="Times New Roman" w:hAnsi="Times New Roman" w:cs="Times New Roman"/>
          <w:sz w:val="24"/>
          <w:szCs w:val="24"/>
        </w:rPr>
        <w:t>., 2016). O resultado é uma lógica política de silenciamento e disciplinarização, que transforma esses corpos em “corpos dóceis”, ajustados à lógica produtivista, ou então em “corpos excedentes”, descartáveis e invisibilizados (FOUCAULT, 2014).</w:t>
      </w:r>
    </w:p>
    <w:p w14:paraId="24E2958C"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lastRenderedPageBreak/>
        <w:t>As consequências desse processo desenhado sob a égide da lógica patriarcal, capitalista e sexista, são múltiplas e se manifestam como formas de sofrimento físico, psíquico e social. A violência estrutural atua para ampliar riscos à saúde e violar direitos fundamentais dessas mulheres, cujas dores, frequentemente, não são sequer reconhecidas como legítimas (SAWAIA, 2014b). A sociedade, que se diz “</w:t>
      </w:r>
      <w:proofErr w:type="spellStart"/>
      <w:r w:rsidRPr="00141E08">
        <w:rPr>
          <w:rFonts w:ascii="Times New Roman" w:hAnsi="Times New Roman" w:cs="Times New Roman"/>
          <w:sz w:val="24"/>
          <w:szCs w:val="24"/>
        </w:rPr>
        <w:t>pró-vida</w:t>
      </w:r>
      <w:proofErr w:type="spellEnd"/>
      <w:r w:rsidRPr="00141E08">
        <w:rPr>
          <w:rFonts w:ascii="Times New Roman" w:hAnsi="Times New Roman" w:cs="Times New Roman"/>
          <w:sz w:val="24"/>
          <w:szCs w:val="24"/>
        </w:rPr>
        <w:t>”, contraditoriamente determina quais vidas importam e quais são passíveis de esquecimento ou eliminação.</w:t>
      </w:r>
    </w:p>
    <w:p w14:paraId="238FDC3A"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Estas questões, associadas as desigualdades de gênero, à discriminação racial e étnica e às múltiplas formas de violências e violações de direitos, convertem-se em efeitos concretos que se manifestam em sofrimentos físicos, psíquicos e sociais, ampliam os riscos para a saúde e as vulnerabilidades das mulheres (FREEDMAN; CRANKSHAW; MUTAMBARA, 2020). Esse panorama torna-se ainda mais agudo no caso das mulheres em situação de rua, já que, ao resistirem e desafiarem às regras sociais, são relegadas a uma categoria excludente, estigmatizada e estereotipada. Constrói-se, portanto, um sistema de injustiças estruturais e de sofrimentos socialmente negados, uma vez que a submetidas a fome, as violências e a opressão e outras dores não são reconhecidas como dor pela sociedade (SAWAIA, 2014b, p.104).</w:t>
      </w:r>
    </w:p>
    <w:p w14:paraId="610051AB"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No cerne dessa lógica está o biopoder, cuja função não é apenas preservar a vida, mas regular sua utilidade e produtividade (FOUCAULT, 2008a; 2009; 2010). Quando um corpo — como o da mulher em situação de rua — não se adequa às expectativas de docilidade, cuidado e reprodução úteis ao sistema capitalista, ele se torna alvo de mecanismos de controle que o isolam, silenciam ou eliminam. O que está em jogo, portanto, é não apenas o controle sobre a vida, mas o poder de decidir quem merece viver plenamente — e quem será condenado à morte social, simbólica ou física.</w:t>
      </w:r>
    </w:p>
    <w:p w14:paraId="6449FA97"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Esse poder configura-se como biopoder, instrumento indispensável ao desenvolvimento da sociedade capitalista, pois busca gerir e regular os processos vitais dos seres humanos por meio da imposição de conhecimentos, normas jurídicas e medidas políticas, que surgem para controlar, através dos aparelhos do Estado, a fim de garantir a manutenção das relações de produção (FOUCAULT, 2010; FURTADO; CAMILO, 2016).</w:t>
      </w:r>
    </w:p>
    <w:p w14:paraId="051F5B29"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Tal técnica de poder, que “toma os indivíduos ao mesmo tempo como objetos e como instrumentos de seu exercício” (FOUCAULT, 2009, p. 164), manifesta-se por meio das disciplinas. Em outros termos, o poder, ao mesmo tempo que controla minunciosamente as operações do corpo, através do domínio de suas forças, exige que este corpo se torne dócil e funcional frente a classe dominante. Assim, o soberano, cujo poder reside fundamentalmente no direito sobre a vida e a morte, exercer, nesse recorte analítico, sobre mulheres em situação de rua, mecanismo de regulação que limitam seu direito de existir, de desejar, de gestar e de maternar, impondo condições que, em última instância, controlam não apenas sua vida, mas também a possibilidade de morte — sua e de sua prole (FOUCAULT, 2010). </w:t>
      </w:r>
    </w:p>
    <w:p w14:paraId="1EF8E161"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Essa disciplina, definida como "centrípeta, isto é, [que] circunscreve e organiza um espaço no interior do qual os corpos são sujeitados”, se interessa pelo corpo vivo, que pode ser “potencializado” – formado, disciplinado, corrigido, mantido saudável – com o </w:t>
      </w:r>
      <w:r w:rsidRPr="00141E08">
        <w:rPr>
          <w:rFonts w:ascii="Times New Roman" w:hAnsi="Times New Roman" w:cs="Times New Roman"/>
          <w:sz w:val="24"/>
          <w:szCs w:val="24"/>
        </w:rPr>
        <w:lastRenderedPageBreak/>
        <w:t>objetivo de maximizar e expandir sua capacidade de produzir mercadorias ou gestar novas forças de trabalho. Esse poder disciplinar, portanto, não é vinculado a “um poder de morte, mas um poder de vida, cuja função não é matar, mas operar a imposição da vida” (HILÁRIO, 2016, p. 199).</w:t>
      </w:r>
    </w:p>
    <w:p w14:paraId="4CEB0387"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A potência da morte, que simbolizava o poder do soberano (o rei/o monarca), na contemporaneidade, recobre-se a partir de um ideário administrativo, um poder que empreende, que administra e que multiplica a produção da vida (FOUCAULT, 2010). Dessa maneira, a antiga tática de ‘poder matar para poder viver’, que sustentava as guerrilhas e combates, transformou-se, para Foucault (2010), uma estratégia articulada entre os Estados, que, em vez de gerar a morte diretamente, passar a gerar, gerir e empreende a vida como recurso e instrumento de governabilidade.</w:t>
      </w:r>
    </w:p>
    <w:p w14:paraId="6EF34235"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Conforme pontuado anteriormente, para Foucault (2010;2008;2009), o poder sobre a vida articula-se a duas dimensões principais: as disciplinas anátomo-políticas, que veem o corpo como máquina a ser disciplinada e utilizada, e a biopolítica, que regula as populações por meio do controle de processos vitais como natalidade e mortalidade. Essas duas formas de poder se concretizam por meio de tecnologias específicas, dentre as quais o dispositivo da sexualidade se destaca, sobretudo ao incidir sobre o corpo e a vida das mulheres em situação de rua.</w:t>
      </w:r>
    </w:p>
    <w:p w14:paraId="053FE83D"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A partir desse ponto de vista, lança-se luz sobre a recusa social em reconhecer a mulher em situação de rua como um “corpo vivo”, capaz de ser potencializado para geração de novas vidas e forças de trabalho.  Essas mulheres subvertem a lógica do sistema que impõe papéis sociais rigidamente construídos a partir das normas morais do discurso dominantes, as quais prescrevem e organizam os corpos femininos (FOUCAULT, 2014), e que tendem a atribuem valor às mulheres que seguem para seu destino social, a tríade tradicional de cuidadora do lar, do marido e da prole (BEAUVOIR, 2016a; b).</w:t>
      </w:r>
    </w:p>
    <w:p w14:paraId="7FBD1EBC"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Nesse sentido, por meio do biopoder e da biopolítica (FOUCAULT, 2010), a sociedade rejeita, censura e interdita o desejo e a possibilidade de gestar dessas mulheres, seja sob a perspectiva da função biológica da reprodução, seja enquanto produção de novas forças laborais. Assim, a mulher em situação de rua não se enquadra nos três pilares que sustentam a norma patriarcal — a virgem, a reprodutora/procriadora e a cuidadora incansável. Como ressalta Foucault (2010, p. 160), “na junção entre o ‘corpo’ e a ‘população’, o sexo tornou-se alvo central de um poder que se organiza em torno da gestão da vida, mais do que da ameaça de morte”, ilustrando o controle e a exclusão operados sobre esses corpos marginalizados.</w:t>
      </w:r>
    </w:p>
    <w:p w14:paraId="15510371"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Esse loop de negação e afirmação do corpo e do desejo viabiliza o que podemos denominar de processos de resistências protagonizados das mulheres em situação de rua, uma vez que, conforme aponta Lima (2018), “é na malha </w:t>
      </w:r>
      <w:proofErr w:type="spellStart"/>
      <w:r w:rsidRPr="00141E08">
        <w:rPr>
          <w:rFonts w:ascii="Times New Roman" w:hAnsi="Times New Roman" w:cs="Times New Roman"/>
          <w:sz w:val="24"/>
          <w:szCs w:val="24"/>
        </w:rPr>
        <w:t>microcapilar</w:t>
      </w:r>
      <w:proofErr w:type="spellEnd"/>
      <w:r w:rsidRPr="00141E08">
        <w:rPr>
          <w:rFonts w:ascii="Times New Roman" w:hAnsi="Times New Roman" w:cs="Times New Roman"/>
          <w:sz w:val="24"/>
          <w:szCs w:val="24"/>
        </w:rPr>
        <w:t xml:space="preserve"> das relações de poder que também se constituem as resistências tanto dos corpos singularizados quanto do corpo social e coletivo”. Nessa ótica, as mulheres em situação de rua são julgadas como improdutivas –tanto na esfera sexual e reprodutiva, quanto no campo do trabalho –, e, por isso, são duplamente descartáveis no seio da sociedade capitalista patriarcal. </w:t>
      </w:r>
    </w:p>
    <w:p w14:paraId="5FFDC451"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lastRenderedPageBreak/>
        <w:t xml:space="preserve">Levanta-se a hipótese de que, por não se enquadrarem na lógica do poder de vida descrita por Hilário (2016), essas mulheres estariam, portanto, fadadas ao poder de morte — seja a morte biológica, emocional ou social (SAWAIA, 2014b). A necropolítica, conceito desenvolvido por Achille </w:t>
      </w:r>
      <w:proofErr w:type="spellStart"/>
      <w:r w:rsidRPr="00141E08">
        <w:rPr>
          <w:rFonts w:ascii="Times New Roman" w:hAnsi="Times New Roman" w:cs="Times New Roman"/>
          <w:sz w:val="24"/>
          <w:szCs w:val="24"/>
        </w:rPr>
        <w:t>Mbembe</w:t>
      </w:r>
      <w:proofErr w:type="spellEnd"/>
      <w:r w:rsidRPr="00141E08">
        <w:rPr>
          <w:rFonts w:ascii="Times New Roman" w:hAnsi="Times New Roman" w:cs="Times New Roman"/>
          <w:sz w:val="24"/>
          <w:szCs w:val="24"/>
        </w:rPr>
        <w:t xml:space="preserve"> (2016), aprofunda esse entendimento. Trata-se do poder de ditar quem deve viver e quem deve morrer — não apenas no sentido literal, mas também no sentido de condenar grupos inteiros à inexistência política e ao abandono institucional. A mulher em situação de rua, especialmente a mulher negra, ocupa o centro dessa necropolítica: é silenciada enquanto produtora de vida, invisibilizada como mãe, punida por existir fora das normas.</w:t>
      </w:r>
    </w:p>
    <w:p w14:paraId="25612F18"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Essa condição se manifesta de forma acentuada por meio das práticas da necropolítica na atual conjuntura. De fato, a sociedade e suas construções sociais, que orientam as políticas públicas, tendem a regular e normatizar determinados grupos ao exercer o poder de decidir quem deve viver e quem deve morrer (MBEMBE, 2016).</w:t>
      </w:r>
    </w:p>
    <w:p w14:paraId="1C587321"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Corroborando com tais reflexões, Lima (2017) afirma que o poder necropolítico é visível no contexto brasileiro em diversos cenários, tais como do sistema carcerário, da população em situação de rua e dos apartheids urbanos nas grandes e pequenas cidades. Atualmente, esses espaços são majoritariamente compostos por pessoas negras, o que evidência como a política da morte se legitima e se operacionaliza a partir do racismo estrutural, justificando o extermínio desses corpos marginalizados. </w:t>
      </w:r>
    </w:p>
    <w:p w14:paraId="08457070"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O racismo é reconhecido como determinante social de saúde da população negra. Conforme, o Ministério da Saúde, esse fator dificulta significativamente o acesso aos serviços de saúde, tornando nítido nos dados da pesquisa “Nascer no Brasil: Pesquisa Nacional sobre Parto e Nascimento”. Leal </w:t>
      </w:r>
      <w:r w:rsidRPr="00141E08">
        <w:rPr>
          <w:rFonts w:ascii="Times New Roman" w:hAnsi="Times New Roman" w:cs="Times New Roman"/>
          <w:i/>
          <w:iCs/>
          <w:sz w:val="24"/>
          <w:szCs w:val="24"/>
        </w:rPr>
        <w:t>et al.</w:t>
      </w:r>
      <w:r w:rsidRPr="00141E08">
        <w:rPr>
          <w:rFonts w:ascii="Times New Roman" w:hAnsi="Times New Roman" w:cs="Times New Roman"/>
          <w:sz w:val="24"/>
          <w:szCs w:val="24"/>
        </w:rPr>
        <w:t xml:space="preserve"> (2017) enfatizam que as influências da raça/cor na experiência de gestação e parto no Brasil resultam em assistência e acompanhamento inadequados desde o pré-natal até o puerpério, manifestando-se através na falta de vínculo com a maternidade, peregrinação para o parto, menor uso de anestesia local em episiotomia, ausência de acompanhante, entre outras situações</w:t>
      </w:r>
    </w:p>
    <w:p w14:paraId="6AF73C0C"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A interseção entre gênero, raça, classe e moradia escancara o caráter seletivo das políticas públicas e dos discursos de direitos. A necropolítica não se manifesta apenas por meio da violência direta, mas também pela omissão: nega-se assistência pré-natal, o direito a parto humanizado, acesso à saúde, à alimentação e à moradia — mecanismos que compõem uma engrenagem de desumanização e eliminação cotidiana.</w:t>
      </w:r>
    </w:p>
    <w:p w14:paraId="29C77D84"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Essa forma de assistência é enraizada em uma estrutura histórica racista e sexista, perpetuada ao longo do tempo.  A experiência histórica das mulheres negras, como nos lembra Davis (2016), é marcada por dois grandes processos de negação: o primeiro, durante a escravidão, que eram reconhecidas apenas como reprodutoras e avaliadas “em função de sua fertilidade (ou da falta dela) [...], não eram realmente mães; eram apenas instrumentos que garantiam a ampliação da força de trabalho escrava” (DAVIS, 2016, p. 19).</w:t>
      </w:r>
    </w:p>
    <w:p w14:paraId="6526ECD2"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A segunda experiência, segundo Davis (2016), refere-se ao contexto pós-abolicionista, quando as mulheres negras passaram a ocupar, majoritariamente, posições de trabalho precarizadas e subalternizadas. Nesse cenário, muitas passaram a identificar o controle de natalidade como uma estratégia de extermínio, “não hesitaram em igualar o </w:t>
      </w:r>
      <w:r w:rsidRPr="00141E08">
        <w:rPr>
          <w:rFonts w:ascii="Times New Roman" w:hAnsi="Times New Roman" w:cs="Times New Roman"/>
          <w:sz w:val="24"/>
          <w:szCs w:val="24"/>
        </w:rPr>
        <w:lastRenderedPageBreak/>
        <w:t xml:space="preserve">controle de natalidade ao genocídio”, considerando que esse discurso, historicamente, sustentou políticas de esterilização forçada — uma forma racista de “controle de natalidade em massa” (DAVIS, 2016, p. 206). </w:t>
      </w:r>
    </w:p>
    <w:p w14:paraId="21581327"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Assim, reivindicações do movimento feminista liberal, protagonizado por mulheres privilegiadas, geralmente brancas, em defesa do acesso aos métodos contraceptivos e do aborto como direitos, acabaram sendo, para mulheres negras e pobres, impostas como dever ou obrigação (DAVIS, 2016).  Esses processos evidenciam como o corpo da mulher negra foi capturado pelo sistema capitalista de maneiras distintas ao longo do tempo — ora como matriz de produção, ora como risco demográfico. </w:t>
      </w:r>
    </w:p>
    <w:p w14:paraId="4AE370FF"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Assim, como aponta Cardoso (2018), no atual estágio do capitalismo, marcado pelo desemprego estrutural e pela obsolescência da força de trabalho, corpos considerados “improdutivos” são transformados em descartáveis. A necropolítica, nesse sentido, funciona como tecnologia de governo orientada à eliminação seletiva de vidas excedentes.</w:t>
      </w:r>
    </w:p>
    <w:p w14:paraId="1272B876"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Entre essas massas excedentes, destaca-se a população em situação de rua, composta majoritariamente por pessoas negras ou pardas, que, por não possuir lugar e nem função na sociedade burguesa, torna-se alvo de processos sistemáticos de eliminação. Nesse sentido, “o capitalismo é violência, é genocídio e envolve variados fenômenos antinegros nos níveis estrutural, sociocultural, simbólico e físico. O capitalismo é genocida” (CARDOSO, 2018, p. 957).</w:t>
      </w:r>
    </w:p>
    <w:p w14:paraId="561B47D4"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A pandemia da Covid-19 reforçou essa lógica. Como analisam </w:t>
      </w:r>
      <w:proofErr w:type="spellStart"/>
      <w:r w:rsidRPr="00141E08">
        <w:rPr>
          <w:rFonts w:ascii="Times New Roman" w:hAnsi="Times New Roman" w:cs="Times New Roman"/>
          <w:sz w:val="24"/>
          <w:szCs w:val="24"/>
        </w:rPr>
        <w:t>Cassal</w:t>
      </w:r>
      <w:proofErr w:type="spellEnd"/>
      <w:r w:rsidRPr="00141E08">
        <w:rPr>
          <w:rFonts w:ascii="Times New Roman" w:hAnsi="Times New Roman" w:cs="Times New Roman"/>
          <w:sz w:val="24"/>
          <w:szCs w:val="24"/>
        </w:rPr>
        <w:t xml:space="preserve"> e Fernandes (2020), a população negra e em situação de rua foi desproporcionalmente atingida, revelando a brutalidade com que o Estado distribui a morte. A mulher negra em situação de rua, portanto, está situada na intersecção das violências — racial, de gênero, econômica, institucional — que a tornam alvo privilegiado da necropolítica.</w:t>
      </w:r>
    </w:p>
    <w:p w14:paraId="6F9F7C5C"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Conclui-se, assim, que a articulação entre capitalismo, patriarcado e racismo opera uma política da morte que se materializa sobre os corpos das mulheres em situação de rua. O biopoder e a necropolítica não apenas regulam, mas decidem. E, ao decidir, eliminam. O reconhecimento dessa engrenagem é o primeiro passo para combatê-la — e para pensar políticas que não apenas protejam a vida, mas que garantam o direito de existir com dignidade, desejo e pertencimento.</w:t>
      </w:r>
    </w:p>
    <w:p w14:paraId="5472C849" w14:textId="77777777" w:rsidR="0008441B" w:rsidRPr="00141E08" w:rsidRDefault="0008441B" w:rsidP="00141E08">
      <w:pPr>
        <w:ind w:firstLineChars="295" w:firstLine="708"/>
        <w:jc w:val="both"/>
        <w:rPr>
          <w:rFonts w:ascii="Times New Roman" w:hAnsi="Times New Roman" w:cs="Times New Roman"/>
          <w:sz w:val="24"/>
          <w:szCs w:val="24"/>
        </w:rPr>
      </w:pPr>
    </w:p>
    <w:p w14:paraId="527A83E4" w14:textId="77777777" w:rsidR="0008441B" w:rsidRPr="00141E08" w:rsidRDefault="0008441B" w:rsidP="00141E08">
      <w:pPr>
        <w:pStyle w:val="PargrafodaLista"/>
        <w:numPr>
          <w:ilvl w:val="0"/>
          <w:numId w:val="1"/>
        </w:numPr>
        <w:ind w:left="567" w:hanging="567"/>
        <w:rPr>
          <w:b/>
          <w:bCs/>
        </w:rPr>
      </w:pPr>
      <w:r w:rsidRPr="00141E08">
        <w:rPr>
          <w:b/>
          <w:bCs/>
        </w:rPr>
        <w:t>Considerações Finais</w:t>
      </w:r>
    </w:p>
    <w:p w14:paraId="4122A6D5" w14:textId="77777777" w:rsidR="0008441B" w:rsidRPr="00141E08" w:rsidRDefault="0008441B" w:rsidP="00141E08">
      <w:pPr>
        <w:ind w:firstLineChars="709" w:firstLine="1702"/>
        <w:jc w:val="both"/>
        <w:rPr>
          <w:rFonts w:ascii="Times New Roman" w:hAnsi="Times New Roman" w:cs="Times New Roman"/>
          <w:sz w:val="24"/>
          <w:szCs w:val="24"/>
        </w:rPr>
      </w:pPr>
    </w:p>
    <w:p w14:paraId="69670D85"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A partir das reflexões aqui desenvolvidas, torna-se evidente que a experiência de ser mulher em situação de rua não pode ser compreendida apenas como um dado social ou uma condição individual de vulnerabilidade. Trata-se de uma expressão aguda das tecnologias de poder que operam sob uma lógica biopolítica e necropolítica — lógica esta que regula a vida, hierarquiza corpos e define, de forma seletiva, quem é digno de viver, de cuidar e de existir.</w:t>
      </w:r>
    </w:p>
    <w:p w14:paraId="317EA6D8"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Ao longo do ensaio, vimos que os corpos femininos, especialmente os corpos das mulheres pobres, negras e marginalizadas, são alvos históricos de regulação e controle. </w:t>
      </w:r>
      <w:r w:rsidRPr="00141E08">
        <w:rPr>
          <w:rFonts w:ascii="Times New Roman" w:hAnsi="Times New Roman" w:cs="Times New Roman"/>
          <w:sz w:val="24"/>
          <w:szCs w:val="24"/>
        </w:rPr>
        <w:lastRenderedPageBreak/>
        <w:t>Tais processos são legitimados por discursos institucionais e epistêmicos que, ao pretenderem neutralidade, reforçam desigualdades estruturais. Nesse contexto, a mulher em situação de rua aparece como um “corpo-excedente”, alguém que escapa às normas da produtividade, da moralidade e da domesticidade, sendo empurrada para fora das fronteiras da cidadania plena.</w:t>
      </w:r>
    </w:p>
    <w:p w14:paraId="62D38C26"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A epistemologia feminista, articulada ao pensamento foucaultiano e às contribuições críticas de autoras como </w:t>
      </w:r>
      <w:proofErr w:type="spellStart"/>
      <w:r w:rsidRPr="00141E08">
        <w:rPr>
          <w:rFonts w:ascii="Times New Roman" w:hAnsi="Times New Roman" w:cs="Times New Roman"/>
          <w:sz w:val="24"/>
          <w:szCs w:val="24"/>
        </w:rPr>
        <w:t>Sawaia</w:t>
      </w:r>
      <w:proofErr w:type="spellEnd"/>
      <w:r w:rsidRPr="00141E08">
        <w:rPr>
          <w:rFonts w:ascii="Times New Roman" w:hAnsi="Times New Roman" w:cs="Times New Roman"/>
          <w:sz w:val="24"/>
          <w:szCs w:val="24"/>
        </w:rPr>
        <w:t xml:space="preserve">, Herzog, </w:t>
      </w:r>
      <w:proofErr w:type="spellStart"/>
      <w:r w:rsidRPr="00141E08">
        <w:rPr>
          <w:rFonts w:ascii="Times New Roman" w:hAnsi="Times New Roman" w:cs="Times New Roman"/>
          <w:sz w:val="24"/>
          <w:szCs w:val="24"/>
        </w:rPr>
        <w:t>hooks</w:t>
      </w:r>
      <w:proofErr w:type="spellEnd"/>
      <w:r w:rsidRPr="00141E08">
        <w:rPr>
          <w:rFonts w:ascii="Times New Roman" w:hAnsi="Times New Roman" w:cs="Times New Roman"/>
          <w:sz w:val="24"/>
          <w:szCs w:val="24"/>
        </w:rPr>
        <w:t>, Davis, oferece uma lente potente para compreender como o sofrimento dessas mulheres é produzido socialmente, politicamente e discursivamente. O sofrimento deixa, assim, de ser visto como experiência apenas subjetiva e passa a ser entendido como manifestação de injustiças históricas e relações de poder assimétricas que atravessam o gênero, a raça e a classe.</w:t>
      </w:r>
    </w:p>
    <w:p w14:paraId="68B48C48"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 xml:space="preserve">Ademais, discutimos como os feminismos — enquanto movimentos </w:t>
      </w:r>
      <w:proofErr w:type="spellStart"/>
      <w:r w:rsidRPr="00141E08">
        <w:rPr>
          <w:rFonts w:ascii="Times New Roman" w:hAnsi="Times New Roman" w:cs="Times New Roman"/>
          <w:sz w:val="24"/>
          <w:szCs w:val="24"/>
        </w:rPr>
        <w:t>contra-hegemônicos</w:t>
      </w:r>
      <w:proofErr w:type="spellEnd"/>
      <w:r w:rsidRPr="00141E08">
        <w:rPr>
          <w:rFonts w:ascii="Times New Roman" w:hAnsi="Times New Roman" w:cs="Times New Roman"/>
          <w:sz w:val="24"/>
          <w:szCs w:val="24"/>
        </w:rPr>
        <w:t xml:space="preserve"> — produzem contradiscursos que desafiam as narrativas normativas e abrem espaço para novas formas de saber, narrar e cuidar. Ainda que as epistemologias feministas tenham avançado, sua presença em áreas estratégicas como a saúde pública permanece limitada, o que reforça a necessidade de promover uma reorientação crítica e interseccional nas políticas, práticas e pesquisas em saúde.</w:t>
      </w:r>
    </w:p>
    <w:p w14:paraId="7176975F" w14:textId="77777777" w:rsidR="0008441B" w:rsidRPr="00141E08" w:rsidRDefault="0008441B" w:rsidP="00141E08">
      <w:pPr>
        <w:ind w:firstLineChars="295" w:firstLine="708"/>
        <w:jc w:val="both"/>
        <w:rPr>
          <w:rFonts w:ascii="Times New Roman" w:hAnsi="Times New Roman" w:cs="Times New Roman"/>
          <w:sz w:val="24"/>
          <w:szCs w:val="24"/>
        </w:rPr>
      </w:pPr>
      <w:r w:rsidRPr="00141E08">
        <w:rPr>
          <w:rFonts w:ascii="Times New Roman" w:hAnsi="Times New Roman" w:cs="Times New Roman"/>
          <w:sz w:val="24"/>
          <w:szCs w:val="24"/>
        </w:rPr>
        <w:t>Por fim, compreender a situação das mulheres em situação de rua exige romper com leituras moralizantes e individualizantes, para que se possa construir uma agenda comprometida com a justiça social, a dignidade humana e o enfrentamento das múltiplas violências estruturais. Isso requer não apenas escuta e visibilidade, mas também ação política, ética e coletiva. Como gesto de resistência, o presente ensaio aposta na potência dos saberes insurgentes e na radicalidade do cuidado como ferramenta de transformação social — um cuidado que reconheça as diferenças, repare as ausências e se comprometa com a vida.</w:t>
      </w:r>
    </w:p>
    <w:bookmarkEnd w:id="1"/>
    <w:p w14:paraId="6D9A02F5" w14:textId="77777777" w:rsidR="0008441B" w:rsidRPr="00141E08" w:rsidRDefault="0008441B" w:rsidP="0008441B">
      <w:pPr>
        <w:ind w:firstLineChars="295" w:firstLine="708"/>
        <w:rPr>
          <w:rFonts w:ascii="Times New Roman" w:hAnsi="Times New Roman" w:cs="Times New Roman"/>
          <w:sz w:val="24"/>
          <w:szCs w:val="24"/>
        </w:rPr>
      </w:pPr>
    </w:p>
    <w:p w14:paraId="48705D20" w14:textId="77777777" w:rsidR="0008441B" w:rsidRPr="00141E08" w:rsidRDefault="0008441B" w:rsidP="00141E08">
      <w:pPr>
        <w:jc w:val="both"/>
        <w:rPr>
          <w:rFonts w:ascii="Times New Roman" w:hAnsi="Times New Roman" w:cs="Times New Roman"/>
          <w:b/>
          <w:bCs/>
          <w:sz w:val="24"/>
          <w:szCs w:val="24"/>
        </w:rPr>
      </w:pPr>
      <w:r w:rsidRPr="00141E08">
        <w:rPr>
          <w:rFonts w:ascii="Times New Roman" w:hAnsi="Times New Roman" w:cs="Times New Roman"/>
          <w:b/>
          <w:bCs/>
          <w:sz w:val="24"/>
          <w:szCs w:val="24"/>
        </w:rPr>
        <w:t xml:space="preserve">Referências </w:t>
      </w:r>
    </w:p>
    <w:p w14:paraId="19B172AA" w14:textId="77777777" w:rsidR="0008441B" w:rsidRPr="00141E08" w:rsidRDefault="0008441B" w:rsidP="00141E08">
      <w:pPr>
        <w:jc w:val="both"/>
        <w:rPr>
          <w:rFonts w:ascii="Times New Roman" w:hAnsi="Times New Roman" w:cs="Times New Roman"/>
          <w:b/>
          <w:bCs/>
          <w:sz w:val="24"/>
          <w:szCs w:val="24"/>
        </w:rPr>
      </w:pPr>
    </w:p>
    <w:p w14:paraId="478895A9"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BASTOS, L. L.; VENTURA, M.; BRANDÃO, E. R. Saúde sexual e reprodutiva, conservadorismo religioso e acesso a medicamentos: uma discussão sobre a estratégia global de </w:t>
      </w:r>
      <w:proofErr w:type="spellStart"/>
      <w:r w:rsidRPr="00141E08">
        <w:rPr>
          <w:rFonts w:ascii="Times New Roman" w:eastAsia="Times New Roman" w:hAnsi="Times New Roman" w:cs="Times New Roman"/>
          <w:sz w:val="24"/>
          <w:szCs w:val="24"/>
        </w:rPr>
        <w:t>advocacy</w:t>
      </w:r>
      <w:proofErr w:type="spellEnd"/>
      <w:r w:rsidRPr="00141E08">
        <w:rPr>
          <w:rFonts w:ascii="Times New Roman" w:eastAsia="Times New Roman" w:hAnsi="Times New Roman" w:cs="Times New Roman"/>
          <w:sz w:val="24"/>
          <w:szCs w:val="24"/>
        </w:rPr>
        <w:t xml:space="preserve"> do Consórcio Internacional sobre Contracepção de Emergência. </w:t>
      </w:r>
      <w:r w:rsidRPr="00141E08">
        <w:rPr>
          <w:rFonts w:ascii="Times New Roman" w:eastAsia="Times New Roman" w:hAnsi="Times New Roman" w:cs="Times New Roman"/>
          <w:i/>
          <w:iCs/>
          <w:sz w:val="24"/>
          <w:szCs w:val="24"/>
        </w:rPr>
        <w:t>Sex., Salud Soc. (Rio J.)</w:t>
      </w:r>
      <w:r w:rsidRPr="00141E08">
        <w:rPr>
          <w:rFonts w:ascii="Times New Roman" w:eastAsia="Times New Roman" w:hAnsi="Times New Roman" w:cs="Times New Roman"/>
          <w:sz w:val="24"/>
          <w:szCs w:val="24"/>
        </w:rPr>
        <w:t>, Rio de Janeiro, n. 26, p. 306-327, ago. 2017. DOI:10.1590/1984-6487.sess.2017.26.</w:t>
      </w:r>
      <w:proofErr w:type="gramStart"/>
      <w:r w:rsidRPr="00141E08">
        <w:rPr>
          <w:rFonts w:ascii="Times New Roman" w:eastAsia="Times New Roman" w:hAnsi="Times New Roman" w:cs="Times New Roman"/>
          <w:sz w:val="24"/>
          <w:szCs w:val="24"/>
        </w:rPr>
        <w:t>15.a.</w:t>
      </w:r>
      <w:proofErr w:type="gramEnd"/>
    </w:p>
    <w:p w14:paraId="5DE24D2F"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4DB7E747"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BARBOSA, J. C. G. </w:t>
      </w:r>
      <w:r w:rsidRPr="00141E08">
        <w:rPr>
          <w:rFonts w:ascii="Times New Roman" w:eastAsia="Times New Roman" w:hAnsi="Times New Roman" w:cs="Times New Roman"/>
          <w:i/>
          <w:iCs/>
          <w:sz w:val="24"/>
          <w:szCs w:val="24"/>
        </w:rPr>
        <w:t>Implementação das políticas públicas voltadas para a população em situação de rua: desafios e aprendizados</w:t>
      </w:r>
      <w:r w:rsidRPr="00141E08">
        <w:rPr>
          <w:rFonts w:ascii="Times New Roman" w:eastAsia="Times New Roman" w:hAnsi="Times New Roman" w:cs="Times New Roman"/>
          <w:sz w:val="24"/>
          <w:szCs w:val="24"/>
        </w:rPr>
        <w:t>. Dissertação (Mestrado em Políticas Públicas e Desenvolvimento) – Instituto de Pesquisa Econômica Aplicada, Programa de Pós-Graduação em Políticas Públicas e Desenvolvimento, área de concentração em Economia, 2018.</w:t>
      </w:r>
    </w:p>
    <w:p w14:paraId="23307B84"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15FF3FF0"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BEAUVOIR, S. </w:t>
      </w:r>
      <w:r w:rsidRPr="00141E08">
        <w:rPr>
          <w:rFonts w:ascii="Times New Roman" w:eastAsia="Times New Roman" w:hAnsi="Times New Roman" w:cs="Times New Roman"/>
          <w:i/>
          <w:iCs/>
          <w:sz w:val="24"/>
          <w:szCs w:val="24"/>
        </w:rPr>
        <w:t>O segundo sexo: fatos e mitos</w:t>
      </w:r>
      <w:r w:rsidRPr="00141E08">
        <w:rPr>
          <w:rFonts w:ascii="Times New Roman" w:eastAsia="Times New Roman" w:hAnsi="Times New Roman" w:cs="Times New Roman"/>
          <w:sz w:val="24"/>
          <w:szCs w:val="24"/>
        </w:rPr>
        <w:t>. v. 1. Tradução de Sérgio Milliet. 3. ed. Rio de Janeiro: Nova Fronteira, 2016a.</w:t>
      </w:r>
    </w:p>
    <w:p w14:paraId="7C448A83"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6C82C9DC"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BEAUVOIR, S. </w:t>
      </w:r>
      <w:r w:rsidRPr="00141E08">
        <w:rPr>
          <w:rFonts w:ascii="Times New Roman" w:eastAsia="Times New Roman" w:hAnsi="Times New Roman" w:cs="Times New Roman"/>
          <w:i/>
          <w:iCs/>
          <w:sz w:val="24"/>
          <w:szCs w:val="24"/>
        </w:rPr>
        <w:t>O segundo sexo: a experiência vivida</w:t>
      </w:r>
      <w:r w:rsidRPr="00141E08">
        <w:rPr>
          <w:rFonts w:ascii="Times New Roman" w:eastAsia="Times New Roman" w:hAnsi="Times New Roman" w:cs="Times New Roman"/>
          <w:sz w:val="24"/>
          <w:szCs w:val="24"/>
        </w:rPr>
        <w:t>. v. 2. Tradução de Sérgio Milliet. 3. ed. Rio de Janeiro: Nova Fronteira, 2016b.</w:t>
      </w:r>
    </w:p>
    <w:p w14:paraId="7086E9F1"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02C9A77C" w14:textId="77777777" w:rsidR="0008441B" w:rsidRPr="00141E08" w:rsidRDefault="0008441B" w:rsidP="00141E08">
      <w:pPr>
        <w:spacing w:line="240" w:lineRule="auto"/>
        <w:jc w:val="both"/>
        <w:rPr>
          <w:rFonts w:ascii="Times New Roman" w:eastAsia="Times New Roman" w:hAnsi="Times New Roman" w:cs="Times New Roman"/>
          <w:sz w:val="24"/>
          <w:szCs w:val="24"/>
          <w:lang w:val="en-GB"/>
        </w:rPr>
      </w:pPr>
      <w:r w:rsidRPr="00307C66">
        <w:rPr>
          <w:rFonts w:ascii="Times New Roman" w:eastAsia="Times New Roman" w:hAnsi="Times New Roman" w:cs="Times New Roman"/>
          <w:sz w:val="24"/>
          <w:szCs w:val="24"/>
        </w:rPr>
        <w:t xml:space="preserve">HERZOG, B. </w:t>
      </w:r>
      <w:proofErr w:type="spellStart"/>
      <w:r w:rsidRPr="00307C66">
        <w:rPr>
          <w:rFonts w:ascii="Times New Roman" w:eastAsia="Times New Roman" w:hAnsi="Times New Roman" w:cs="Times New Roman"/>
          <w:sz w:val="24"/>
          <w:szCs w:val="24"/>
        </w:rPr>
        <w:t>Invisibilization</w:t>
      </w:r>
      <w:proofErr w:type="spellEnd"/>
      <w:r w:rsidRPr="00307C66">
        <w:rPr>
          <w:rFonts w:ascii="Times New Roman" w:eastAsia="Times New Roman" w:hAnsi="Times New Roman" w:cs="Times New Roman"/>
          <w:sz w:val="24"/>
          <w:szCs w:val="24"/>
        </w:rPr>
        <w:t xml:space="preserve"> </w:t>
      </w:r>
      <w:proofErr w:type="spellStart"/>
      <w:r w:rsidRPr="00307C66">
        <w:rPr>
          <w:rFonts w:ascii="Times New Roman" w:eastAsia="Times New Roman" w:hAnsi="Times New Roman" w:cs="Times New Roman"/>
          <w:sz w:val="24"/>
          <w:szCs w:val="24"/>
        </w:rPr>
        <w:t>and</w:t>
      </w:r>
      <w:proofErr w:type="spellEnd"/>
      <w:r w:rsidRPr="00307C66">
        <w:rPr>
          <w:rFonts w:ascii="Times New Roman" w:eastAsia="Times New Roman" w:hAnsi="Times New Roman" w:cs="Times New Roman"/>
          <w:sz w:val="24"/>
          <w:szCs w:val="24"/>
        </w:rPr>
        <w:t xml:space="preserve"> </w:t>
      </w:r>
      <w:proofErr w:type="spellStart"/>
      <w:r w:rsidRPr="00307C66">
        <w:rPr>
          <w:rFonts w:ascii="Times New Roman" w:eastAsia="Times New Roman" w:hAnsi="Times New Roman" w:cs="Times New Roman"/>
          <w:sz w:val="24"/>
          <w:szCs w:val="24"/>
        </w:rPr>
        <w:t>silencing</w:t>
      </w:r>
      <w:proofErr w:type="spellEnd"/>
      <w:r w:rsidRPr="00307C66">
        <w:rPr>
          <w:rFonts w:ascii="Times New Roman" w:eastAsia="Times New Roman" w:hAnsi="Times New Roman" w:cs="Times New Roman"/>
          <w:sz w:val="24"/>
          <w:szCs w:val="24"/>
        </w:rPr>
        <w:t xml:space="preserve"> as </w:t>
      </w:r>
      <w:proofErr w:type="spellStart"/>
      <w:r w:rsidRPr="00307C66">
        <w:rPr>
          <w:rFonts w:ascii="Times New Roman" w:eastAsia="Times New Roman" w:hAnsi="Times New Roman" w:cs="Times New Roman"/>
          <w:sz w:val="24"/>
          <w:szCs w:val="24"/>
        </w:rPr>
        <w:t>an</w:t>
      </w:r>
      <w:proofErr w:type="spellEnd"/>
      <w:r w:rsidRPr="00307C66">
        <w:rPr>
          <w:rFonts w:ascii="Times New Roman" w:eastAsia="Times New Roman" w:hAnsi="Times New Roman" w:cs="Times New Roman"/>
          <w:sz w:val="24"/>
          <w:szCs w:val="24"/>
        </w:rPr>
        <w:t xml:space="preserve"> </w:t>
      </w:r>
      <w:proofErr w:type="spellStart"/>
      <w:r w:rsidRPr="00307C66">
        <w:rPr>
          <w:rFonts w:ascii="Times New Roman" w:eastAsia="Times New Roman" w:hAnsi="Times New Roman" w:cs="Times New Roman"/>
          <w:sz w:val="24"/>
          <w:szCs w:val="24"/>
        </w:rPr>
        <w:t>ethical</w:t>
      </w:r>
      <w:proofErr w:type="spellEnd"/>
      <w:r w:rsidRPr="00307C66">
        <w:rPr>
          <w:rFonts w:ascii="Times New Roman" w:eastAsia="Times New Roman" w:hAnsi="Times New Roman" w:cs="Times New Roman"/>
          <w:sz w:val="24"/>
          <w:szCs w:val="24"/>
        </w:rPr>
        <w:t xml:space="preserve"> </w:t>
      </w:r>
      <w:proofErr w:type="spellStart"/>
      <w:r w:rsidRPr="00307C66">
        <w:rPr>
          <w:rFonts w:ascii="Times New Roman" w:eastAsia="Times New Roman" w:hAnsi="Times New Roman" w:cs="Times New Roman"/>
          <w:sz w:val="24"/>
          <w:szCs w:val="24"/>
        </w:rPr>
        <w:t>and</w:t>
      </w:r>
      <w:proofErr w:type="spellEnd"/>
      <w:r w:rsidRPr="00307C66">
        <w:rPr>
          <w:rFonts w:ascii="Times New Roman" w:eastAsia="Times New Roman" w:hAnsi="Times New Roman" w:cs="Times New Roman"/>
          <w:sz w:val="24"/>
          <w:szCs w:val="24"/>
        </w:rPr>
        <w:t xml:space="preserve"> </w:t>
      </w:r>
      <w:proofErr w:type="spellStart"/>
      <w:r w:rsidRPr="00307C66">
        <w:rPr>
          <w:rFonts w:ascii="Times New Roman" w:eastAsia="Times New Roman" w:hAnsi="Times New Roman" w:cs="Times New Roman"/>
          <w:sz w:val="24"/>
          <w:szCs w:val="24"/>
        </w:rPr>
        <w:t>sociological</w:t>
      </w:r>
      <w:proofErr w:type="spellEnd"/>
      <w:r w:rsidRPr="00307C66">
        <w:rPr>
          <w:rFonts w:ascii="Times New Roman" w:eastAsia="Times New Roman" w:hAnsi="Times New Roman" w:cs="Times New Roman"/>
          <w:sz w:val="24"/>
          <w:szCs w:val="24"/>
        </w:rPr>
        <w:t xml:space="preserve"> </w:t>
      </w:r>
      <w:proofErr w:type="spellStart"/>
      <w:r w:rsidRPr="00307C66">
        <w:rPr>
          <w:rFonts w:ascii="Times New Roman" w:eastAsia="Times New Roman" w:hAnsi="Times New Roman" w:cs="Times New Roman"/>
          <w:sz w:val="24"/>
          <w:szCs w:val="24"/>
        </w:rPr>
        <w:t>challenge</w:t>
      </w:r>
      <w:proofErr w:type="spellEnd"/>
      <w:r w:rsidRPr="00307C66">
        <w:rPr>
          <w:rFonts w:ascii="Times New Roman" w:eastAsia="Times New Roman" w:hAnsi="Times New Roman" w:cs="Times New Roman"/>
          <w:sz w:val="24"/>
          <w:szCs w:val="24"/>
        </w:rPr>
        <w:t xml:space="preserve">. </w:t>
      </w:r>
      <w:r w:rsidRPr="00307C66">
        <w:rPr>
          <w:rFonts w:ascii="Times New Roman" w:eastAsia="Times New Roman" w:hAnsi="Times New Roman" w:cs="Times New Roman"/>
          <w:i/>
          <w:iCs/>
          <w:sz w:val="24"/>
          <w:szCs w:val="24"/>
        </w:rPr>
        <w:t xml:space="preserve">Social </w:t>
      </w:r>
      <w:proofErr w:type="spellStart"/>
      <w:r w:rsidRPr="00307C66">
        <w:rPr>
          <w:rFonts w:ascii="Times New Roman" w:eastAsia="Times New Roman" w:hAnsi="Times New Roman" w:cs="Times New Roman"/>
          <w:i/>
          <w:iCs/>
          <w:sz w:val="24"/>
          <w:szCs w:val="24"/>
        </w:rPr>
        <w:t>Epistemology</w:t>
      </w:r>
      <w:proofErr w:type="spellEnd"/>
      <w:r w:rsidRPr="00307C66">
        <w:rPr>
          <w:rFonts w:ascii="Times New Roman" w:eastAsia="Times New Roman" w:hAnsi="Times New Roman" w:cs="Times New Roman"/>
          <w:sz w:val="24"/>
          <w:szCs w:val="24"/>
        </w:rPr>
        <w:t xml:space="preserve">, v. 32, n. 1, p. 13-23, 2018. </w:t>
      </w:r>
      <w:r w:rsidRPr="00141E08">
        <w:rPr>
          <w:rFonts w:ascii="Times New Roman" w:eastAsia="Times New Roman" w:hAnsi="Times New Roman" w:cs="Times New Roman"/>
          <w:sz w:val="24"/>
          <w:szCs w:val="24"/>
          <w:lang w:val="en-GB"/>
        </w:rPr>
        <w:t>DOI: 10.1080/02691728.2017.1383529.</w:t>
      </w:r>
    </w:p>
    <w:p w14:paraId="0D2AE6F0" w14:textId="77777777" w:rsidR="0008441B" w:rsidRPr="00141E08" w:rsidRDefault="0008441B" w:rsidP="00141E08">
      <w:pPr>
        <w:spacing w:line="240" w:lineRule="auto"/>
        <w:jc w:val="both"/>
        <w:rPr>
          <w:rFonts w:ascii="Times New Roman" w:eastAsia="Times New Roman" w:hAnsi="Times New Roman" w:cs="Times New Roman"/>
          <w:sz w:val="24"/>
          <w:szCs w:val="24"/>
          <w:lang w:val="en-GB"/>
        </w:rPr>
      </w:pPr>
      <w:r w:rsidRPr="00141E08">
        <w:rPr>
          <w:rFonts w:ascii="Times New Roman" w:eastAsia="Times New Roman" w:hAnsi="Times New Roman" w:cs="Times New Roman"/>
          <w:sz w:val="24"/>
          <w:szCs w:val="24"/>
          <w:lang w:val="en-GB"/>
        </w:rPr>
        <w:t xml:space="preserve">BISCOTTO, P. R. </w:t>
      </w:r>
      <w:r w:rsidRPr="00141E08">
        <w:rPr>
          <w:rFonts w:ascii="Times New Roman" w:eastAsia="Times New Roman" w:hAnsi="Times New Roman" w:cs="Times New Roman"/>
          <w:i/>
          <w:iCs/>
          <w:sz w:val="24"/>
          <w:szCs w:val="24"/>
          <w:lang w:val="en-GB"/>
        </w:rPr>
        <w:t>et al.</w:t>
      </w:r>
      <w:r w:rsidRPr="00141E08">
        <w:rPr>
          <w:rFonts w:ascii="Times New Roman" w:eastAsia="Times New Roman" w:hAnsi="Times New Roman" w:cs="Times New Roman"/>
          <w:sz w:val="24"/>
          <w:szCs w:val="24"/>
          <w:lang w:val="en-GB"/>
        </w:rPr>
        <w:t xml:space="preserve"> Understanding of the life experience of homeless women. </w:t>
      </w:r>
      <w:r w:rsidRPr="00141E08">
        <w:rPr>
          <w:rFonts w:ascii="Times New Roman" w:eastAsia="Times New Roman" w:hAnsi="Times New Roman" w:cs="Times New Roman"/>
          <w:i/>
          <w:iCs/>
          <w:sz w:val="24"/>
          <w:szCs w:val="24"/>
          <w:lang w:val="en-GB"/>
        </w:rPr>
        <w:t xml:space="preserve">Rev. </w:t>
      </w:r>
      <w:proofErr w:type="spellStart"/>
      <w:r w:rsidRPr="00141E08">
        <w:rPr>
          <w:rFonts w:ascii="Times New Roman" w:eastAsia="Times New Roman" w:hAnsi="Times New Roman" w:cs="Times New Roman"/>
          <w:i/>
          <w:iCs/>
          <w:sz w:val="24"/>
          <w:szCs w:val="24"/>
          <w:lang w:val="en-GB"/>
        </w:rPr>
        <w:t>Enferm</w:t>
      </w:r>
      <w:proofErr w:type="spellEnd"/>
      <w:r w:rsidRPr="00141E08">
        <w:rPr>
          <w:rFonts w:ascii="Times New Roman" w:eastAsia="Times New Roman" w:hAnsi="Times New Roman" w:cs="Times New Roman"/>
          <w:i/>
          <w:iCs/>
          <w:sz w:val="24"/>
          <w:szCs w:val="24"/>
          <w:lang w:val="en-GB"/>
        </w:rPr>
        <w:t>. USP</w:t>
      </w:r>
      <w:r w:rsidRPr="00141E08">
        <w:rPr>
          <w:rFonts w:ascii="Times New Roman" w:eastAsia="Times New Roman" w:hAnsi="Times New Roman" w:cs="Times New Roman"/>
          <w:sz w:val="24"/>
          <w:szCs w:val="24"/>
          <w:lang w:val="en-GB"/>
        </w:rPr>
        <w:t>, v. 50, n. 5, p. 749-755, 2016. DOI: 10.1590/S0080-623420160000600006.</w:t>
      </w:r>
    </w:p>
    <w:p w14:paraId="41EA4315" w14:textId="77777777" w:rsidR="0008441B" w:rsidRPr="00141E08" w:rsidRDefault="0008441B" w:rsidP="00141E08">
      <w:pPr>
        <w:spacing w:line="240" w:lineRule="auto"/>
        <w:jc w:val="both"/>
        <w:rPr>
          <w:rFonts w:ascii="Times New Roman" w:eastAsia="Times New Roman" w:hAnsi="Times New Roman" w:cs="Times New Roman"/>
          <w:sz w:val="24"/>
          <w:szCs w:val="24"/>
          <w:lang w:val="en-GB"/>
        </w:rPr>
      </w:pPr>
    </w:p>
    <w:p w14:paraId="531C4872" w14:textId="77777777" w:rsidR="0008441B" w:rsidRPr="00141E08" w:rsidRDefault="0008441B" w:rsidP="00141E08">
      <w:pPr>
        <w:spacing w:line="240" w:lineRule="auto"/>
        <w:jc w:val="both"/>
        <w:rPr>
          <w:rFonts w:ascii="Times New Roman" w:eastAsia="Times New Roman" w:hAnsi="Times New Roman" w:cs="Times New Roman"/>
          <w:sz w:val="24"/>
          <w:szCs w:val="24"/>
          <w:lang w:val="en-GB"/>
        </w:rPr>
      </w:pPr>
      <w:r w:rsidRPr="00141E08">
        <w:rPr>
          <w:rFonts w:ascii="Times New Roman" w:eastAsia="Times New Roman" w:hAnsi="Times New Roman" w:cs="Times New Roman"/>
          <w:sz w:val="24"/>
          <w:szCs w:val="24"/>
          <w:lang w:val="en-GB"/>
        </w:rPr>
        <w:t xml:space="preserve">BRANDÃO, E. R.; CABRAL, C. S. Sexual and reproductive rights under attack: the advance of political and moral conservatism in Brazil. </w:t>
      </w:r>
      <w:r w:rsidRPr="00141E08">
        <w:rPr>
          <w:rFonts w:ascii="Times New Roman" w:eastAsia="Times New Roman" w:hAnsi="Times New Roman" w:cs="Times New Roman"/>
          <w:i/>
          <w:iCs/>
          <w:sz w:val="24"/>
          <w:szCs w:val="24"/>
          <w:lang w:val="en-GB"/>
        </w:rPr>
        <w:t>Sexual and Reproductive Health Matters</w:t>
      </w:r>
      <w:r w:rsidRPr="00141E08">
        <w:rPr>
          <w:rFonts w:ascii="Times New Roman" w:eastAsia="Times New Roman" w:hAnsi="Times New Roman" w:cs="Times New Roman"/>
          <w:sz w:val="24"/>
          <w:szCs w:val="24"/>
          <w:lang w:val="en-GB"/>
        </w:rPr>
        <w:t>, v. 27, n. 2, p. 76-86, 2019. DOI: 10.1080/26410397.2019.1669338.</w:t>
      </w:r>
    </w:p>
    <w:p w14:paraId="7F14276F" w14:textId="77777777" w:rsidR="0008441B" w:rsidRPr="00141E08" w:rsidRDefault="0008441B" w:rsidP="00141E08">
      <w:pPr>
        <w:spacing w:line="240" w:lineRule="auto"/>
        <w:jc w:val="both"/>
        <w:rPr>
          <w:rFonts w:ascii="Times New Roman" w:eastAsia="Times New Roman" w:hAnsi="Times New Roman" w:cs="Times New Roman"/>
          <w:sz w:val="24"/>
          <w:szCs w:val="24"/>
          <w:lang w:val="en-GB"/>
        </w:rPr>
      </w:pPr>
    </w:p>
    <w:p w14:paraId="4339CE5A"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lang w:val="en-GB"/>
        </w:rPr>
        <w:t xml:space="preserve">BRASIL. </w:t>
      </w:r>
      <w:r w:rsidRPr="00141E08">
        <w:rPr>
          <w:rFonts w:ascii="Times New Roman" w:eastAsia="Times New Roman" w:hAnsi="Times New Roman" w:cs="Times New Roman"/>
          <w:sz w:val="24"/>
          <w:szCs w:val="24"/>
        </w:rPr>
        <w:t xml:space="preserve">Ministério dos Direitos Humanos e da Cidadania. Secretaria Nacional de Promoção e Defesa dos Direitos Humanos. </w:t>
      </w:r>
      <w:r w:rsidRPr="00141E08">
        <w:rPr>
          <w:rFonts w:ascii="Times New Roman" w:eastAsia="Times New Roman" w:hAnsi="Times New Roman" w:cs="Times New Roman"/>
          <w:i/>
          <w:iCs/>
          <w:sz w:val="24"/>
          <w:szCs w:val="24"/>
        </w:rPr>
        <w:t>População em situação de rua: diagnóstico com base nos dados e informações disponíveis em registros administrativos e sistemas do Governo Federal</w:t>
      </w:r>
      <w:r w:rsidRPr="00141E08">
        <w:rPr>
          <w:rFonts w:ascii="Times New Roman" w:eastAsia="Times New Roman" w:hAnsi="Times New Roman" w:cs="Times New Roman"/>
          <w:sz w:val="24"/>
          <w:szCs w:val="24"/>
        </w:rPr>
        <w:t xml:space="preserve">. Brasília: Ministério dos Direitos Humanos e da Cidadania, ago. 2023. </w:t>
      </w:r>
    </w:p>
    <w:p w14:paraId="1BAE2472"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02B8E36A"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CARDOSO, F. Racismo e necropolítica: a lógica do genocídio de negros e negras no Brasil contemporâneo. </w:t>
      </w:r>
      <w:r w:rsidRPr="00141E08">
        <w:rPr>
          <w:rFonts w:ascii="Times New Roman" w:eastAsia="Times New Roman" w:hAnsi="Times New Roman" w:cs="Times New Roman"/>
          <w:i/>
          <w:iCs/>
          <w:sz w:val="24"/>
          <w:szCs w:val="24"/>
        </w:rPr>
        <w:t>Revista de Políticas Públicas</w:t>
      </w:r>
      <w:r w:rsidRPr="00141E08">
        <w:rPr>
          <w:rFonts w:ascii="Times New Roman" w:eastAsia="Times New Roman" w:hAnsi="Times New Roman" w:cs="Times New Roman"/>
          <w:sz w:val="24"/>
          <w:szCs w:val="24"/>
        </w:rPr>
        <w:t>, v. 22, 2018.</w:t>
      </w:r>
    </w:p>
    <w:p w14:paraId="09F8FD41"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30184C61"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CASSAL, M.; FERNANDES, T. A população negra em situação de rua e a covid-19: vidas negras importam? </w:t>
      </w:r>
      <w:r w:rsidRPr="00141E08">
        <w:rPr>
          <w:rFonts w:ascii="Times New Roman" w:eastAsia="Times New Roman" w:hAnsi="Times New Roman" w:cs="Times New Roman"/>
          <w:i/>
          <w:iCs/>
          <w:sz w:val="24"/>
          <w:szCs w:val="24"/>
        </w:rPr>
        <w:t>Tessituras: Revista de Antropologia e Arqueologia</w:t>
      </w:r>
      <w:r w:rsidRPr="00141E08">
        <w:rPr>
          <w:rFonts w:ascii="Times New Roman" w:eastAsia="Times New Roman" w:hAnsi="Times New Roman" w:cs="Times New Roman"/>
          <w:sz w:val="24"/>
          <w:szCs w:val="24"/>
        </w:rPr>
        <w:t>, Pelotas, v. 8, n. 1, jan./jun. 2020.</w:t>
      </w:r>
    </w:p>
    <w:p w14:paraId="2F3704B0"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6CBBAE43"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lang w:val="en-GB"/>
        </w:rPr>
        <w:t xml:space="preserve">CHEUNG, A. M.; HWANG, S. W. Risk of death among homeless women: a cohort study and review of the literature. </w:t>
      </w:r>
      <w:r w:rsidRPr="00141E08">
        <w:rPr>
          <w:rFonts w:ascii="Times New Roman" w:eastAsia="Times New Roman" w:hAnsi="Times New Roman" w:cs="Times New Roman"/>
          <w:i/>
          <w:iCs/>
          <w:sz w:val="24"/>
          <w:szCs w:val="24"/>
        </w:rPr>
        <w:t>CMAJ</w:t>
      </w:r>
      <w:r w:rsidRPr="00141E08">
        <w:rPr>
          <w:rFonts w:ascii="Times New Roman" w:eastAsia="Times New Roman" w:hAnsi="Times New Roman" w:cs="Times New Roman"/>
          <w:sz w:val="24"/>
          <w:szCs w:val="24"/>
        </w:rPr>
        <w:t xml:space="preserve">, v. 170, n. 4, p. 1243-1247, 2004. </w:t>
      </w:r>
    </w:p>
    <w:p w14:paraId="77192C1F"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1BBE9986"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COSTA, S. L. </w:t>
      </w:r>
      <w:r w:rsidRPr="00141E08">
        <w:rPr>
          <w:rFonts w:ascii="Times New Roman" w:eastAsia="Times New Roman" w:hAnsi="Times New Roman" w:cs="Times New Roman"/>
          <w:i/>
          <w:iCs/>
          <w:sz w:val="24"/>
          <w:szCs w:val="24"/>
        </w:rPr>
        <w:t>et al.</w:t>
      </w:r>
      <w:r w:rsidRPr="00141E08">
        <w:rPr>
          <w:rFonts w:ascii="Times New Roman" w:eastAsia="Times New Roman" w:hAnsi="Times New Roman" w:cs="Times New Roman"/>
          <w:sz w:val="24"/>
          <w:szCs w:val="24"/>
        </w:rPr>
        <w:t xml:space="preserve"> Gestantes em situação de rua no município de Santos, SP: reflexões e desafios para as políticas públicas. </w:t>
      </w:r>
      <w:r w:rsidRPr="00141E08">
        <w:rPr>
          <w:rFonts w:ascii="Times New Roman" w:eastAsia="Times New Roman" w:hAnsi="Times New Roman" w:cs="Times New Roman"/>
          <w:i/>
          <w:iCs/>
          <w:sz w:val="24"/>
          <w:szCs w:val="24"/>
        </w:rPr>
        <w:t>Saúde Soc.</w:t>
      </w:r>
      <w:r w:rsidRPr="00141E08">
        <w:rPr>
          <w:rFonts w:ascii="Times New Roman" w:eastAsia="Times New Roman" w:hAnsi="Times New Roman" w:cs="Times New Roman"/>
          <w:sz w:val="24"/>
          <w:szCs w:val="24"/>
        </w:rPr>
        <w:t>, São Paulo, v. 24, n. 3, p. 1089-1102, 2015. DOI: 10.1590/S0104-12902015134769.</w:t>
      </w:r>
    </w:p>
    <w:p w14:paraId="7A1471AF"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7D5A35C4" w14:textId="77777777" w:rsidR="0008441B" w:rsidRPr="00141E08" w:rsidRDefault="0008441B" w:rsidP="00141E08">
      <w:pPr>
        <w:spacing w:line="240" w:lineRule="auto"/>
        <w:jc w:val="both"/>
        <w:rPr>
          <w:rFonts w:ascii="Times New Roman" w:eastAsia="Times New Roman" w:hAnsi="Times New Roman" w:cs="Times New Roman"/>
          <w:sz w:val="24"/>
          <w:szCs w:val="24"/>
          <w:lang w:val="en-GB"/>
        </w:rPr>
      </w:pPr>
      <w:r w:rsidRPr="00141E08">
        <w:rPr>
          <w:rFonts w:ascii="Times New Roman" w:eastAsia="Times New Roman" w:hAnsi="Times New Roman" w:cs="Times New Roman"/>
          <w:sz w:val="24"/>
          <w:szCs w:val="24"/>
        </w:rPr>
        <w:t xml:space="preserve">DAVIS, A. </w:t>
      </w:r>
      <w:r w:rsidRPr="00141E08">
        <w:rPr>
          <w:rFonts w:ascii="Times New Roman" w:eastAsia="Times New Roman" w:hAnsi="Times New Roman" w:cs="Times New Roman"/>
          <w:i/>
          <w:iCs/>
          <w:sz w:val="24"/>
          <w:szCs w:val="24"/>
        </w:rPr>
        <w:t>Mulheres, raça e classe</w:t>
      </w:r>
      <w:r w:rsidRPr="00141E08">
        <w:rPr>
          <w:rFonts w:ascii="Times New Roman" w:eastAsia="Times New Roman" w:hAnsi="Times New Roman" w:cs="Times New Roman"/>
          <w:sz w:val="24"/>
          <w:szCs w:val="24"/>
        </w:rPr>
        <w:t xml:space="preserve">. Tradução de H. R. </w:t>
      </w:r>
      <w:proofErr w:type="spellStart"/>
      <w:r w:rsidRPr="00141E08">
        <w:rPr>
          <w:rFonts w:ascii="Times New Roman" w:eastAsia="Times New Roman" w:hAnsi="Times New Roman" w:cs="Times New Roman"/>
          <w:sz w:val="24"/>
          <w:szCs w:val="24"/>
        </w:rPr>
        <w:t>Candiani</w:t>
      </w:r>
      <w:proofErr w:type="spellEnd"/>
      <w:r w:rsidRPr="00141E08">
        <w:rPr>
          <w:rFonts w:ascii="Times New Roman" w:eastAsia="Times New Roman" w:hAnsi="Times New Roman" w:cs="Times New Roman"/>
          <w:sz w:val="24"/>
          <w:szCs w:val="24"/>
        </w:rPr>
        <w:t xml:space="preserve">. </w:t>
      </w:r>
      <w:r w:rsidRPr="00141E08">
        <w:rPr>
          <w:rFonts w:ascii="Times New Roman" w:eastAsia="Times New Roman" w:hAnsi="Times New Roman" w:cs="Times New Roman"/>
          <w:sz w:val="24"/>
          <w:szCs w:val="24"/>
          <w:lang w:val="en-GB"/>
        </w:rPr>
        <w:t xml:space="preserve">São Paulo: </w:t>
      </w:r>
      <w:proofErr w:type="spellStart"/>
      <w:r w:rsidRPr="00141E08">
        <w:rPr>
          <w:rFonts w:ascii="Times New Roman" w:eastAsia="Times New Roman" w:hAnsi="Times New Roman" w:cs="Times New Roman"/>
          <w:sz w:val="24"/>
          <w:szCs w:val="24"/>
          <w:lang w:val="en-GB"/>
        </w:rPr>
        <w:t>Boitempo</w:t>
      </w:r>
      <w:proofErr w:type="spellEnd"/>
      <w:r w:rsidRPr="00141E08">
        <w:rPr>
          <w:rFonts w:ascii="Times New Roman" w:eastAsia="Times New Roman" w:hAnsi="Times New Roman" w:cs="Times New Roman"/>
          <w:sz w:val="24"/>
          <w:szCs w:val="24"/>
          <w:lang w:val="en-GB"/>
        </w:rPr>
        <w:t>, 2016.</w:t>
      </w:r>
    </w:p>
    <w:p w14:paraId="08CD8F53" w14:textId="77777777" w:rsidR="0008441B" w:rsidRPr="00141E08" w:rsidRDefault="0008441B" w:rsidP="00141E08">
      <w:pPr>
        <w:spacing w:line="240" w:lineRule="auto"/>
        <w:jc w:val="both"/>
        <w:rPr>
          <w:rFonts w:ascii="Times New Roman" w:eastAsia="Times New Roman" w:hAnsi="Times New Roman" w:cs="Times New Roman"/>
          <w:sz w:val="24"/>
          <w:szCs w:val="24"/>
          <w:lang w:val="en-GB"/>
        </w:rPr>
      </w:pPr>
    </w:p>
    <w:p w14:paraId="51002503" w14:textId="77777777" w:rsidR="0008441B" w:rsidRPr="00141E08" w:rsidRDefault="0008441B" w:rsidP="00141E08">
      <w:pPr>
        <w:spacing w:line="240" w:lineRule="auto"/>
        <w:jc w:val="both"/>
        <w:rPr>
          <w:rFonts w:ascii="Times New Roman" w:eastAsia="Times New Roman" w:hAnsi="Times New Roman" w:cs="Times New Roman"/>
          <w:sz w:val="24"/>
          <w:szCs w:val="24"/>
          <w:lang w:val="en-GB"/>
        </w:rPr>
      </w:pPr>
      <w:r w:rsidRPr="00141E08">
        <w:rPr>
          <w:rFonts w:ascii="Times New Roman" w:eastAsia="Times New Roman" w:hAnsi="Times New Roman" w:cs="Times New Roman"/>
          <w:sz w:val="24"/>
          <w:szCs w:val="24"/>
          <w:lang w:val="en-GB"/>
        </w:rPr>
        <w:t xml:space="preserve">DOUGLAS, K. M.; SUTTON, R. M. “A giant leap for mankind” but what about women? The role of system justifying ideologies in predicting attitudes toward sexist language. </w:t>
      </w:r>
      <w:r w:rsidRPr="00141E08">
        <w:rPr>
          <w:rFonts w:ascii="Times New Roman" w:eastAsia="Times New Roman" w:hAnsi="Times New Roman" w:cs="Times New Roman"/>
          <w:i/>
          <w:iCs/>
          <w:sz w:val="24"/>
          <w:szCs w:val="24"/>
          <w:lang w:val="en-GB"/>
        </w:rPr>
        <w:t>Journal of Language and Social Psychology</w:t>
      </w:r>
      <w:r w:rsidRPr="00141E08">
        <w:rPr>
          <w:rFonts w:ascii="Times New Roman" w:eastAsia="Times New Roman" w:hAnsi="Times New Roman" w:cs="Times New Roman"/>
          <w:sz w:val="24"/>
          <w:szCs w:val="24"/>
          <w:lang w:val="en-GB"/>
        </w:rPr>
        <w:t>, v. 33, n. 6, p. 667-680, jun./</w:t>
      </w:r>
      <w:proofErr w:type="spellStart"/>
      <w:r w:rsidRPr="00141E08">
        <w:rPr>
          <w:rFonts w:ascii="Times New Roman" w:eastAsia="Times New Roman" w:hAnsi="Times New Roman" w:cs="Times New Roman"/>
          <w:sz w:val="24"/>
          <w:szCs w:val="24"/>
          <w:lang w:val="en-GB"/>
        </w:rPr>
        <w:t>dez</w:t>
      </w:r>
      <w:proofErr w:type="spellEnd"/>
      <w:r w:rsidRPr="00141E08">
        <w:rPr>
          <w:rFonts w:ascii="Times New Roman" w:eastAsia="Times New Roman" w:hAnsi="Times New Roman" w:cs="Times New Roman"/>
          <w:sz w:val="24"/>
          <w:szCs w:val="24"/>
          <w:lang w:val="en-GB"/>
        </w:rPr>
        <w:t xml:space="preserve">. 2014. DOI: 10.1177/0261927X14538638. </w:t>
      </w:r>
    </w:p>
    <w:p w14:paraId="0D98D755" w14:textId="77777777" w:rsidR="0008441B" w:rsidRPr="00141E08" w:rsidRDefault="0008441B" w:rsidP="00141E08">
      <w:pPr>
        <w:spacing w:line="240" w:lineRule="auto"/>
        <w:jc w:val="both"/>
        <w:rPr>
          <w:rFonts w:ascii="Times New Roman" w:eastAsia="Times New Roman" w:hAnsi="Times New Roman" w:cs="Times New Roman"/>
          <w:sz w:val="24"/>
          <w:szCs w:val="24"/>
          <w:lang w:val="en-GB"/>
        </w:rPr>
      </w:pPr>
    </w:p>
    <w:p w14:paraId="3B89994B"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lang w:val="en-GB"/>
        </w:rPr>
        <w:t xml:space="preserve">FAZEL, S.; GEDDES, J. R.; KUSHEL, M. The health of homeless people in high income countries: descriptive epidemiology, health consequences, and clinical and policy recommendations. </w:t>
      </w:r>
      <w:r w:rsidRPr="00141E08">
        <w:rPr>
          <w:rFonts w:ascii="Times New Roman" w:eastAsia="Times New Roman" w:hAnsi="Times New Roman" w:cs="Times New Roman"/>
          <w:i/>
          <w:iCs/>
          <w:sz w:val="24"/>
          <w:szCs w:val="24"/>
        </w:rPr>
        <w:t>Lancet</w:t>
      </w:r>
      <w:r w:rsidRPr="00141E08">
        <w:rPr>
          <w:rFonts w:ascii="Times New Roman" w:eastAsia="Times New Roman" w:hAnsi="Times New Roman" w:cs="Times New Roman"/>
          <w:sz w:val="24"/>
          <w:szCs w:val="24"/>
        </w:rPr>
        <w:t>, v. 384, n. 9953, p. 1529-1540, 2014. DOI: 10.1016/S0140-6736(14)61132-6.</w:t>
      </w:r>
    </w:p>
    <w:p w14:paraId="28CA9BAD"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7FC315FC"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FEDERICI, S. </w:t>
      </w:r>
      <w:proofErr w:type="spellStart"/>
      <w:r w:rsidRPr="00141E08">
        <w:rPr>
          <w:rFonts w:ascii="Times New Roman" w:eastAsia="Times New Roman" w:hAnsi="Times New Roman" w:cs="Times New Roman"/>
          <w:i/>
          <w:iCs/>
          <w:sz w:val="24"/>
          <w:szCs w:val="24"/>
        </w:rPr>
        <w:t>Calibã</w:t>
      </w:r>
      <w:proofErr w:type="spellEnd"/>
      <w:r w:rsidRPr="00141E08">
        <w:rPr>
          <w:rFonts w:ascii="Times New Roman" w:eastAsia="Times New Roman" w:hAnsi="Times New Roman" w:cs="Times New Roman"/>
          <w:i/>
          <w:iCs/>
          <w:sz w:val="24"/>
          <w:szCs w:val="24"/>
        </w:rPr>
        <w:t xml:space="preserve"> e a bruxa: mulheres, corpo e acumulação primitiva</w:t>
      </w:r>
      <w:r w:rsidRPr="00141E08">
        <w:rPr>
          <w:rFonts w:ascii="Times New Roman" w:eastAsia="Times New Roman" w:hAnsi="Times New Roman" w:cs="Times New Roman"/>
          <w:sz w:val="24"/>
          <w:szCs w:val="24"/>
        </w:rPr>
        <w:t xml:space="preserve">. Tradução: Coletivo </w:t>
      </w:r>
      <w:proofErr w:type="spellStart"/>
      <w:r w:rsidRPr="00141E08">
        <w:rPr>
          <w:rFonts w:ascii="Times New Roman" w:eastAsia="Times New Roman" w:hAnsi="Times New Roman" w:cs="Times New Roman"/>
          <w:sz w:val="24"/>
          <w:szCs w:val="24"/>
        </w:rPr>
        <w:t>Sycorax</w:t>
      </w:r>
      <w:proofErr w:type="spellEnd"/>
      <w:r w:rsidRPr="00141E08">
        <w:rPr>
          <w:rFonts w:ascii="Times New Roman" w:eastAsia="Times New Roman" w:hAnsi="Times New Roman" w:cs="Times New Roman"/>
          <w:sz w:val="24"/>
          <w:szCs w:val="24"/>
        </w:rPr>
        <w:t>. São Paulo: Elefante, 2017. 464 p.</w:t>
      </w:r>
    </w:p>
    <w:p w14:paraId="7A2F5217"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046D2BC7"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FERREIRINHA, I. M. N.; RAITZ, T. R. As relações de poder em Michel Foucault: reflexões teóricas. </w:t>
      </w:r>
      <w:r w:rsidRPr="00141E08">
        <w:rPr>
          <w:rFonts w:ascii="Times New Roman" w:eastAsia="Times New Roman" w:hAnsi="Times New Roman" w:cs="Times New Roman"/>
          <w:i/>
          <w:iCs/>
          <w:sz w:val="24"/>
          <w:szCs w:val="24"/>
        </w:rPr>
        <w:t>Rev. Adm. Pública</w:t>
      </w:r>
      <w:r w:rsidRPr="00141E08">
        <w:rPr>
          <w:rFonts w:ascii="Times New Roman" w:eastAsia="Times New Roman" w:hAnsi="Times New Roman" w:cs="Times New Roman"/>
          <w:sz w:val="24"/>
          <w:szCs w:val="24"/>
        </w:rPr>
        <w:t xml:space="preserve">, Rio de Janeiro, v. 44, n. 2, p. 367-383, abr. 2010. </w:t>
      </w:r>
    </w:p>
    <w:p w14:paraId="6B3528AA"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7165E483"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lastRenderedPageBreak/>
        <w:t xml:space="preserve">FOUCAULT, M. </w:t>
      </w:r>
      <w:r w:rsidRPr="00141E08">
        <w:rPr>
          <w:rFonts w:ascii="Times New Roman" w:eastAsia="Times New Roman" w:hAnsi="Times New Roman" w:cs="Times New Roman"/>
          <w:i/>
          <w:iCs/>
          <w:sz w:val="24"/>
          <w:szCs w:val="24"/>
        </w:rPr>
        <w:t>História da sexualidade I: a vontade de saber</w:t>
      </w:r>
      <w:r w:rsidRPr="00141E08">
        <w:rPr>
          <w:rFonts w:ascii="Times New Roman" w:eastAsia="Times New Roman" w:hAnsi="Times New Roman" w:cs="Times New Roman"/>
          <w:sz w:val="24"/>
          <w:szCs w:val="24"/>
        </w:rPr>
        <w:t>. Rio de Janeiro: Edições Graal, 2006.</w:t>
      </w:r>
    </w:p>
    <w:p w14:paraId="6CFC5F03"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28D5E5CF"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FOUCAULT, M. </w:t>
      </w:r>
      <w:r w:rsidRPr="00141E08">
        <w:rPr>
          <w:rFonts w:ascii="Times New Roman" w:eastAsia="Times New Roman" w:hAnsi="Times New Roman" w:cs="Times New Roman"/>
          <w:i/>
          <w:iCs/>
          <w:sz w:val="24"/>
          <w:szCs w:val="24"/>
        </w:rPr>
        <w:t xml:space="preserve">Nascimento da biopolítica: curso dado no </w:t>
      </w:r>
      <w:proofErr w:type="spellStart"/>
      <w:r w:rsidRPr="00141E08">
        <w:rPr>
          <w:rFonts w:ascii="Times New Roman" w:eastAsia="Times New Roman" w:hAnsi="Times New Roman" w:cs="Times New Roman"/>
          <w:i/>
          <w:iCs/>
          <w:sz w:val="24"/>
          <w:szCs w:val="24"/>
        </w:rPr>
        <w:t>Collège</w:t>
      </w:r>
      <w:proofErr w:type="spellEnd"/>
      <w:r w:rsidRPr="00141E08">
        <w:rPr>
          <w:rFonts w:ascii="Times New Roman" w:eastAsia="Times New Roman" w:hAnsi="Times New Roman" w:cs="Times New Roman"/>
          <w:i/>
          <w:iCs/>
          <w:sz w:val="24"/>
          <w:szCs w:val="24"/>
        </w:rPr>
        <w:t xml:space="preserve"> de France (1978-1979)</w:t>
      </w:r>
      <w:r w:rsidRPr="00141E08">
        <w:rPr>
          <w:rFonts w:ascii="Times New Roman" w:eastAsia="Times New Roman" w:hAnsi="Times New Roman" w:cs="Times New Roman"/>
          <w:sz w:val="24"/>
          <w:szCs w:val="24"/>
        </w:rPr>
        <w:t>. São Paulo: Martins Fontes, 2008.</w:t>
      </w:r>
    </w:p>
    <w:p w14:paraId="30DE0972"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511D2CAF" w14:textId="77777777" w:rsidR="0008441B" w:rsidRPr="00141E08" w:rsidRDefault="0008441B" w:rsidP="00141E08">
      <w:pPr>
        <w:spacing w:line="240" w:lineRule="auto"/>
        <w:jc w:val="both"/>
        <w:rPr>
          <w:rFonts w:ascii="Times New Roman" w:eastAsia="Times New Roman" w:hAnsi="Times New Roman" w:cs="Times New Roman"/>
          <w:sz w:val="24"/>
          <w:szCs w:val="24"/>
          <w:lang w:val="en-GB"/>
        </w:rPr>
      </w:pPr>
      <w:r w:rsidRPr="00141E08">
        <w:rPr>
          <w:rFonts w:ascii="Times New Roman" w:eastAsia="Times New Roman" w:hAnsi="Times New Roman" w:cs="Times New Roman"/>
          <w:sz w:val="24"/>
          <w:szCs w:val="24"/>
        </w:rPr>
        <w:t xml:space="preserve">FOUCAULT, M. </w:t>
      </w:r>
      <w:r w:rsidRPr="00141E08">
        <w:rPr>
          <w:rFonts w:ascii="Times New Roman" w:eastAsia="Times New Roman" w:hAnsi="Times New Roman" w:cs="Times New Roman"/>
          <w:i/>
          <w:iCs/>
          <w:sz w:val="24"/>
          <w:szCs w:val="24"/>
        </w:rPr>
        <w:t>Vigiar e punir: nascimento da prisão</w:t>
      </w:r>
      <w:r w:rsidRPr="00141E08">
        <w:rPr>
          <w:rFonts w:ascii="Times New Roman" w:eastAsia="Times New Roman" w:hAnsi="Times New Roman" w:cs="Times New Roman"/>
          <w:sz w:val="24"/>
          <w:szCs w:val="24"/>
        </w:rPr>
        <w:t xml:space="preserve">. </w:t>
      </w:r>
      <w:r w:rsidRPr="00141E08">
        <w:rPr>
          <w:rFonts w:ascii="Times New Roman" w:eastAsia="Times New Roman" w:hAnsi="Times New Roman" w:cs="Times New Roman"/>
          <w:sz w:val="24"/>
          <w:szCs w:val="24"/>
          <w:lang w:val="en-GB"/>
        </w:rPr>
        <w:t xml:space="preserve">Rio de Janeiro: </w:t>
      </w:r>
      <w:proofErr w:type="spellStart"/>
      <w:r w:rsidRPr="00141E08">
        <w:rPr>
          <w:rFonts w:ascii="Times New Roman" w:eastAsia="Times New Roman" w:hAnsi="Times New Roman" w:cs="Times New Roman"/>
          <w:sz w:val="24"/>
          <w:szCs w:val="24"/>
          <w:lang w:val="en-GB"/>
        </w:rPr>
        <w:t>Vozes</w:t>
      </w:r>
      <w:proofErr w:type="spellEnd"/>
      <w:r w:rsidRPr="00141E08">
        <w:rPr>
          <w:rFonts w:ascii="Times New Roman" w:eastAsia="Times New Roman" w:hAnsi="Times New Roman" w:cs="Times New Roman"/>
          <w:sz w:val="24"/>
          <w:szCs w:val="24"/>
          <w:lang w:val="en-GB"/>
        </w:rPr>
        <w:t>, 2009.</w:t>
      </w:r>
    </w:p>
    <w:p w14:paraId="67482058" w14:textId="77777777" w:rsidR="0008441B" w:rsidRPr="00141E08" w:rsidRDefault="0008441B" w:rsidP="00141E08">
      <w:pPr>
        <w:spacing w:line="240" w:lineRule="auto"/>
        <w:jc w:val="both"/>
        <w:rPr>
          <w:rFonts w:ascii="Times New Roman" w:eastAsia="Times New Roman" w:hAnsi="Times New Roman" w:cs="Times New Roman"/>
          <w:sz w:val="24"/>
          <w:szCs w:val="24"/>
          <w:lang w:val="en-GB"/>
        </w:rPr>
      </w:pPr>
    </w:p>
    <w:p w14:paraId="550DC9F3"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lang w:val="en-GB"/>
        </w:rPr>
        <w:t xml:space="preserve">FREEDMAN, J.; CRANKSHAW, T. L.; MUTAMBARA, V. M. Sexual and reproductive health of asylum seeking and refugee women in South Africa: understanding the determinants of vulnerability. </w:t>
      </w:r>
      <w:r w:rsidRPr="00141E08">
        <w:rPr>
          <w:rFonts w:ascii="Times New Roman" w:eastAsia="Times New Roman" w:hAnsi="Times New Roman" w:cs="Times New Roman"/>
          <w:i/>
          <w:iCs/>
          <w:sz w:val="24"/>
          <w:szCs w:val="24"/>
        </w:rPr>
        <w:t xml:space="preserve">Sexual </w:t>
      </w:r>
      <w:proofErr w:type="spellStart"/>
      <w:r w:rsidRPr="00141E08">
        <w:rPr>
          <w:rFonts w:ascii="Times New Roman" w:eastAsia="Times New Roman" w:hAnsi="Times New Roman" w:cs="Times New Roman"/>
          <w:i/>
          <w:iCs/>
          <w:sz w:val="24"/>
          <w:szCs w:val="24"/>
        </w:rPr>
        <w:t>and</w:t>
      </w:r>
      <w:proofErr w:type="spellEnd"/>
      <w:r w:rsidRPr="00141E08">
        <w:rPr>
          <w:rFonts w:ascii="Times New Roman" w:eastAsia="Times New Roman" w:hAnsi="Times New Roman" w:cs="Times New Roman"/>
          <w:i/>
          <w:iCs/>
          <w:sz w:val="24"/>
          <w:szCs w:val="24"/>
        </w:rPr>
        <w:t xml:space="preserve"> </w:t>
      </w:r>
      <w:proofErr w:type="spellStart"/>
      <w:r w:rsidRPr="00141E08">
        <w:rPr>
          <w:rFonts w:ascii="Times New Roman" w:eastAsia="Times New Roman" w:hAnsi="Times New Roman" w:cs="Times New Roman"/>
          <w:i/>
          <w:iCs/>
          <w:sz w:val="24"/>
          <w:szCs w:val="24"/>
        </w:rPr>
        <w:t>Reproductive</w:t>
      </w:r>
      <w:proofErr w:type="spellEnd"/>
      <w:r w:rsidRPr="00141E08">
        <w:rPr>
          <w:rFonts w:ascii="Times New Roman" w:eastAsia="Times New Roman" w:hAnsi="Times New Roman" w:cs="Times New Roman"/>
          <w:i/>
          <w:iCs/>
          <w:sz w:val="24"/>
          <w:szCs w:val="24"/>
        </w:rPr>
        <w:t xml:space="preserve"> Health </w:t>
      </w:r>
      <w:proofErr w:type="spellStart"/>
      <w:r w:rsidRPr="00141E08">
        <w:rPr>
          <w:rFonts w:ascii="Times New Roman" w:eastAsia="Times New Roman" w:hAnsi="Times New Roman" w:cs="Times New Roman"/>
          <w:i/>
          <w:iCs/>
          <w:sz w:val="24"/>
          <w:szCs w:val="24"/>
        </w:rPr>
        <w:t>Matters</w:t>
      </w:r>
      <w:proofErr w:type="spellEnd"/>
      <w:r w:rsidRPr="00141E08">
        <w:rPr>
          <w:rFonts w:ascii="Times New Roman" w:eastAsia="Times New Roman" w:hAnsi="Times New Roman" w:cs="Times New Roman"/>
          <w:sz w:val="24"/>
          <w:szCs w:val="24"/>
        </w:rPr>
        <w:t>, v. 28, n. 1, p. 1-12, 2020. DOI: 10.1080/26410397.2020.1758440.</w:t>
      </w:r>
    </w:p>
    <w:p w14:paraId="0D096465"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3C5D267F"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HILÁRIO, L. C. Da biopolítica à necropolítica: variações foucaultianas na periferia do capitalismo. </w:t>
      </w:r>
      <w:proofErr w:type="spellStart"/>
      <w:r w:rsidRPr="00141E08">
        <w:rPr>
          <w:rFonts w:ascii="Times New Roman" w:eastAsia="Times New Roman" w:hAnsi="Times New Roman" w:cs="Times New Roman"/>
          <w:i/>
          <w:iCs/>
          <w:sz w:val="24"/>
          <w:szCs w:val="24"/>
        </w:rPr>
        <w:t>Sapere</w:t>
      </w:r>
      <w:proofErr w:type="spellEnd"/>
      <w:r w:rsidRPr="00141E08">
        <w:rPr>
          <w:rFonts w:ascii="Times New Roman" w:eastAsia="Times New Roman" w:hAnsi="Times New Roman" w:cs="Times New Roman"/>
          <w:i/>
          <w:iCs/>
          <w:sz w:val="24"/>
          <w:szCs w:val="24"/>
        </w:rPr>
        <w:t xml:space="preserve"> </w:t>
      </w:r>
      <w:proofErr w:type="spellStart"/>
      <w:r w:rsidRPr="00141E08">
        <w:rPr>
          <w:rFonts w:ascii="Times New Roman" w:eastAsia="Times New Roman" w:hAnsi="Times New Roman" w:cs="Times New Roman"/>
          <w:i/>
          <w:iCs/>
          <w:sz w:val="24"/>
          <w:szCs w:val="24"/>
        </w:rPr>
        <w:t>Aude</w:t>
      </w:r>
      <w:proofErr w:type="spellEnd"/>
      <w:r w:rsidRPr="00141E08">
        <w:rPr>
          <w:rFonts w:ascii="Times New Roman" w:eastAsia="Times New Roman" w:hAnsi="Times New Roman" w:cs="Times New Roman"/>
          <w:sz w:val="24"/>
          <w:szCs w:val="24"/>
        </w:rPr>
        <w:t>, Belo Horizonte, v. 7, n. 12, p. 194-210, jan./jun. 2016. ISSN: 2177-6342.</w:t>
      </w:r>
    </w:p>
    <w:p w14:paraId="5C9AABA1"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34B722FE"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HOOKS, B. </w:t>
      </w:r>
      <w:r w:rsidRPr="00141E08">
        <w:rPr>
          <w:rFonts w:ascii="Times New Roman" w:eastAsia="Times New Roman" w:hAnsi="Times New Roman" w:cs="Times New Roman"/>
          <w:i/>
          <w:iCs/>
          <w:sz w:val="24"/>
          <w:szCs w:val="24"/>
        </w:rPr>
        <w:t>O feminismo é para todo mundo: políticas arrebatadoras</w:t>
      </w:r>
      <w:r w:rsidRPr="00141E08">
        <w:rPr>
          <w:rFonts w:ascii="Times New Roman" w:eastAsia="Times New Roman" w:hAnsi="Times New Roman" w:cs="Times New Roman"/>
          <w:sz w:val="24"/>
          <w:szCs w:val="24"/>
        </w:rPr>
        <w:t>. Rio de Janeiro: Rosa dos Tempos, 2019.</w:t>
      </w:r>
    </w:p>
    <w:p w14:paraId="70C64C80"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0271CFBA"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KETZER, P. Como pensar uma epistemologia feminista? Surgimento, repercussões e problematizações. </w:t>
      </w:r>
      <w:r w:rsidRPr="00141E08">
        <w:rPr>
          <w:rFonts w:ascii="Times New Roman" w:eastAsia="Times New Roman" w:hAnsi="Times New Roman" w:cs="Times New Roman"/>
          <w:i/>
          <w:iCs/>
          <w:sz w:val="24"/>
          <w:szCs w:val="24"/>
        </w:rPr>
        <w:t>Argumentos</w:t>
      </w:r>
      <w:r w:rsidRPr="00141E08">
        <w:rPr>
          <w:rFonts w:ascii="Times New Roman" w:eastAsia="Times New Roman" w:hAnsi="Times New Roman" w:cs="Times New Roman"/>
          <w:sz w:val="24"/>
          <w:szCs w:val="24"/>
        </w:rPr>
        <w:t xml:space="preserve">, ano 9, n. 18, Fortaleza, jul./dez. 2017. </w:t>
      </w:r>
    </w:p>
    <w:p w14:paraId="633AC48C"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60930E9E"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lang w:val="fr-FR"/>
        </w:rPr>
        <w:t xml:space="preserve">LEAL, M. C. </w:t>
      </w:r>
      <w:r w:rsidRPr="00141E08">
        <w:rPr>
          <w:rFonts w:ascii="Times New Roman" w:eastAsia="Times New Roman" w:hAnsi="Times New Roman" w:cs="Times New Roman"/>
          <w:i/>
          <w:iCs/>
          <w:sz w:val="24"/>
          <w:szCs w:val="24"/>
          <w:lang w:val="fr-FR"/>
        </w:rPr>
        <w:t>et al.</w:t>
      </w:r>
      <w:r w:rsidRPr="00141E08">
        <w:rPr>
          <w:rFonts w:ascii="Times New Roman" w:eastAsia="Times New Roman" w:hAnsi="Times New Roman" w:cs="Times New Roman"/>
          <w:sz w:val="24"/>
          <w:szCs w:val="24"/>
          <w:lang w:val="fr-FR"/>
        </w:rPr>
        <w:t xml:space="preserve"> </w:t>
      </w:r>
      <w:r w:rsidRPr="00141E08">
        <w:rPr>
          <w:rFonts w:ascii="Times New Roman" w:eastAsia="Times New Roman" w:hAnsi="Times New Roman" w:cs="Times New Roman"/>
          <w:sz w:val="24"/>
          <w:szCs w:val="24"/>
        </w:rPr>
        <w:t xml:space="preserve">A cor da dor: iniquidades raciais na atenção pré-natal e ao parto no Brasil. </w:t>
      </w:r>
      <w:r w:rsidRPr="00141E08">
        <w:rPr>
          <w:rFonts w:ascii="Times New Roman" w:eastAsia="Times New Roman" w:hAnsi="Times New Roman" w:cs="Times New Roman"/>
          <w:i/>
          <w:iCs/>
          <w:sz w:val="24"/>
          <w:szCs w:val="24"/>
        </w:rPr>
        <w:t>Cad. Saúde Pública</w:t>
      </w:r>
      <w:r w:rsidRPr="00141E08">
        <w:rPr>
          <w:rFonts w:ascii="Times New Roman" w:eastAsia="Times New Roman" w:hAnsi="Times New Roman" w:cs="Times New Roman"/>
          <w:sz w:val="24"/>
          <w:szCs w:val="24"/>
        </w:rPr>
        <w:t xml:space="preserve"> [online], v. 33, supl. 1, e00078816, 2017. DOI: 10.1590/0102-311X00078816.</w:t>
      </w:r>
    </w:p>
    <w:p w14:paraId="04A4B97D"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3E6CAE14"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LEAL, O. F. Corpo, sexualidade e aborto. </w:t>
      </w:r>
      <w:r w:rsidRPr="00307C66">
        <w:rPr>
          <w:rFonts w:ascii="Times New Roman" w:eastAsia="Times New Roman" w:hAnsi="Times New Roman" w:cs="Times New Roman"/>
          <w:sz w:val="24"/>
          <w:szCs w:val="24"/>
          <w:lang w:val="de-DE"/>
        </w:rPr>
        <w:t xml:space="preserve">In: DEBERT, G. G.; GOLDSTEINS, D. M. (Orgs.). </w:t>
      </w:r>
      <w:r w:rsidRPr="00141E08">
        <w:rPr>
          <w:rFonts w:ascii="Times New Roman" w:eastAsia="Times New Roman" w:hAnsi="Times New Roman" w:cs="Times New Roman"/>
          <w:i/>
          <w:iCs/>
          <w:sz w:val="24"/>
          <w:szCs w:val="24"/>
        </w:rPr>
        <w:t>Políticas do corpo e o curso da vida</w:t>
      </w:r>
      <w:r w:rsidRPr="00141E08">
        <w:rPr>
          <w:rFonts w:ascii="Times New Roman" w:eastAsia="Times New Roman" w:hAnsi="Times New Roman" w:cs="Times New Roman"/>
          <w:sz w:val="24"/>
          <w:szCs w:val="24"/>
        </w:rPr>
        <w:t>. São Paulo: Sumaré, 2000. p. 89-107.</w:t>
      </w:r>
    </w:p>
    <w:p w14:paraId="6A5EFB8C"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58E5123C"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LIMA, F. </w:t>
      </w:r>
      <w:proofErr w:type="spellStart"/>
      <w:r w:rsidRPr="00141E08">
        <w:rPr>
          <w:rFonts w:ascii="Times New Roman" w:eastAsia="Times New Roman" w:hAnsi="Times New Roman" w:cs="Times New Roman"/>
          <w:sz w:val="24"/>
          <w:szCs w:val="24"/>
        </w:rPr>
        <w:t>Bio-necropolítica</w:t>
      </w:r>
      <w:proofErr w:type="spellEnd"/>
      <w:r w:rsidRPr="00141E08">
        <w:rPr>
          <w:rFonts w:ascii="Times New Roman" w:eastAsia="Times New Roman" w:hAnsi="Times New Roman" w:cs="Times New Roman"/>
          <w:sz w:val="24"/>
          <w:szCs w:val="24"/>
        </w:rPr>
        <w:t xml:space="preserve">: diálogos entre Michel Foucault e Achille </w:t>
      </w:r>
      <w:proofErr w:type="spellStart"/>
      <w:r w:rsidRPr="00141E08">
        <w:rPr>
          <w:rFonts w:ascii="Times New Roman" w:eastAsia="Times New Roman" w:hAnsi="Times New Roman" w:cs="Times New Roman"/>
          <w:sz w:val="24"/>
          <w:szCs w:val="24"/>
        </w:rPr>
        <w:t>Mbembe</w:t>
      </w:r>
      <w:proofErr w:type="spellEnd"/>
      <w:r w:rsidRPr="00141E08">
        <w:rPr>
          <w:rFonts w:ascii="Times New Roman" w:eastAsia="Times New Roman" w:hAnsi="Times New Roman" w:cs="Times New Roman"/>
          <w:sz w:val="24"/>
          <w:szCs w:val="24"/>
        </w:rPr>
        <w:t xml:space="preserve">. </w:t>
      </w:r>
      <w:r w:rsidRPr="00141E08">
        <w:rPr>
          <w:rFonts w:ascii="Times New Roman" w:eastAsia="Times New Roman" w:hAnsi="Times New Roman" w:cs="Times New Roman"/>
          <w:i/>
          <w:iCs/>
          <w:sz w:val="24"/>
          <w:szCs w:val="24"/>
        </w:rPr>
        <w:t>Arquivos Brasileiros de Psicologia</w:t>
      </w:r>
      <w:r w:rsidRPr="00141E08">
        <w:rPr>
          <w:rFonts w:ascii="Times New Roman" w:eastAsia="Times New Roman" w:hAnsi="Times New Roman" w:cs="Times New Roman"/>
          <w:sz w:val="24"/>
          <w:szCs w:val="24"/>
        </w:rPr>
        <w:t>, Rio de Janeiro, v. 70, p. 20-33, 2018.</w:t>
      </w:r>
    </w:p>
    <w:p w14:paraId="66F9629C"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0848DA36"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LIMA, F. Vidas pretas, processos de subjetivação e sofrimento psíquico: sobre viveres, feminismo, interseccionalidades e mulheres negras. In: PEREIRA, M. O.; GOUVEA, R. (</w:t>
      </w:r>
      <w:proofErr w:type="spellStart"/>
      <w:r w:rsidRPr="00141E08">
        <w:rPr>
          <w:rFonts w:ascii="Times New Roman" w:eastAsia="Times New Roman" w:hAnsi="Times New Roman" w:cs="Times New Roman"/>
          <w:sz w:val="24"/>
          <w:szCs w:val="24"/>
        </w:rPr>
        <w:t>Orgs</w:t>
      </w:r>
      <w:proofErr w:type="spellEnd"/>
      <w:r w:rsidRPr="00141E08">
        <w:rPr>
          <w:rFonts w:ascii="Times New Roman" w:eastAsia="Times New Roman" w:hAnsi="Times New Roman" w:cs="Times New Roman"/>
          <w:sz w:val="24"/>
          <w:szCs w:val="24"/>
        </w:rPr>
        <w:t xml:space="preserve">.). </w:t>
      </w:r>
      <w:r w:rsidRPr="00141E08">
        <w:rPr>
          <w:rFonts w:ascii="Times New Roman" w:eastAsia="Times New Roman" w:hAnsi="Times New Roman" w:cs="Times New Roman"/>
          <w:i/>
          <w:iCs/>
          <w:sz w:val="24"/>
          <w:szCs w:val="24"/>
        </w:rPr>
        <w:t>Luta manicomial e feminismos: discussões de gênero, raça e classe para a reforma psiquiátrica brasileira</w:t>
      </w:r>
      <w:r w:rsidRPr="00141E08">
        <w:rPr>
          <w:rFonts w:ascii="Times New Roman" w:eastAsia="Times New Roman" w:hAnsi="Times New Roman" w:cs="Times New Roman"/>
          <w:sz w:val="24"/>
          <w:szCs w:val="24"/>
        </w:rPr>
        <w:t>. Rio de Janeiro: Autografia, 2017. p. 70-85.</w:t>
      </w:r>
    </w:p>
    <w:p w14:paraId="6DE7ED6E"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758C8E6B"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MACHADO, R. Por uma genealogia do poder. In: FOUCAULT, M. </w:t>
      </w:r>
      <w:r w:rsidRPr="00141E08">
        <w:rPr>
          <w:rFonts w:ascii="Times New Roman" w:eastAsia="Times New Roman" w:hAnsi="Times New Roman" w:cs="Times New Roman"/>
          <w:i/>
          <w:iCs/>
          <w:sz w:val="24"/>
          <w:szCs w:val="24"/>
        </w:rPr>
        <w:t>Microfísica do poder</w:t>
      </w:r>
      <w:r w:rsidRPr="00141E08">
        <w:rPr>
          <w:rFonts w:ascii="Times New Roman" w:eastAsia="Times New Roman" w:hAnsi="Times New Roman" w:cs="Times New Roman"/>
          <w:sz w:val="24"/>
          <w:szCs w:val="24"/>
        </w:rPr>
        <w:t>. Rio de Janeiro: Graal, 1979. p. X.</w:t>
      </w:r>
    </w:p>
    <w:p w14:paraId="2C4089A5"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42ED52A3"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MBEMBE, A. Necropolítica. </w:t>
      </w:r>
      <w:r w:rsidRPr="00141E08">
        <w:rPr>
          <w:rFonts w:ascii="Times New Roman" w:eastAsia="Times New Roman" w:hAnsi="Times New Roman" w:cs="Times New Roman"/>
          <w:i/>
          <w:iCs/>
          <w:sz w:val="24"/>
          <w:szCs w:val="24"/>
        </w:rPr>
        <w:t>Arte &amp; Ensaios: Revista do PPGAV/EBA/UFRJ</w:t>
      </w:r>
      <w:r w:rsidRPr="00141E08">
        <w:rPr>
          <w:rFonts w:ascii="Times New Roman" w:eastAsia="Times New Roman" w:hAnsi="Times New Roman" w:cs="Times New Roman"/>
          <w:sz w:val="24"/>
          <w:szCs w:val="24"/>
        </w:rPr>
        <w:t>, Rio de Janeiro, n. 32, dez. 2016.</w:t>
      </w:r>
    </w:p>
    <w:p w14:paraId="25880CEF"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6F64FEDE" w14:textId="77777777" w:rsidR="0008441B" w:rsidRPr="00141E08" w:rsidRDefault="0008441B" w:rsidP="00141E08">
      <w:pPr>
        <w:spacing w:line="240" w:lineRule="auto"/>
        <w:jc w:val="both"/>
        <w:rPr>
          <w:rFonts w:ascii="Times New Roman" w:eastAsia="Times New Roman" w:hAnsi="Times New Roman" w:cs="Times New Roman"/>
          <w:sz w:val="24"/>
          <w:szCs w:val="24"/>
        </w:rPr>
      </w:pPr>
      <w:proofErr w:type="spellStart"/>
      <w:r w:rsidRPr="00141E08">
        <w:rPr>
          <w:rFonts w:ascii="Times New Roman" w:eastAsia="Times New Roman" w:hAnsi="Times New Roman" w:cs="Times New Roman"/>
          <w:sz w:val="24"/>
          <w:szCs w:val="24"/>
        </w:rPr>
        <w:t>McLAREN</w:t>
      </w:r>
      <w:proofErr w:type="spellEnd"/>
      <w:r w:rsidRPr="00141E08">
        <w:rPr>
          <w:rFonts w:ascii="Times New Roman" w:eastAsia="Times New Roman" w:hAnsi="Times New Roman" w:cs="Times New Roman"/>
          <w:sz w:val="24"/>
          <w:szCs w:val="24"/>
        </w:rPr>
        <w:t xml:space="preserve">, M. A. </w:t>
      </w:r>
      <w:r w:rsidRPr="00141E08">
        <w:rPr>
          <w:rFonts w:ascii="Times New Roman" w:eastAsia="Times New Roman" w:hAnsi="Times New Roman" w:cs="Times New Roman"/>
          <w:i/>
          <w:iCs/>
          <w:sz w:val="24"/>
          <w:szCs w:val="24"/>
        </w:rPr>
        <w:t>Foucault, feminismo e subjetividade</w:t>
      </w:r>
      <w:r w:rsidRPr="00141E08">
        <w:rPr>
          <w:rFonts w:ascii="Times New Roman" w:eastAsia="Times New Roman" w:hAnsi="Times New Roman" w:cs="Times New Roman"/>
          <w:sz w:val="24"/>
          <w:szCs w:val="24"/>
        </w:rPr>
        <w:t xml:space="preserve">. Coleção </w:t>
      </w:r>
      <w:proofErr w:type="spellStart"/>
      <w:r w:rsidRPr="00141E08">
        <w:rPr>
          <w:rFonts w:ascii="Times New Roman" w:eastAsia="Times New Roman" w:hAnsi="Times New Roman" w:cs="Times New Roman"/>
          <w:sz w:val="24"/>
          <w:szCs w:val="24"/>
        </w:rPr>
        <w:t>Entregêneros</w:t>
      </w:r>
      <w:proofErr w:type="spellEnd"/>
      <w:r w:rsidRPr="00141E08">
        <w:rPr>
          <w:rFonts w:ascii="Times New Roman" w:eastAsia="Times New Roman" w:hAnsi="Times New Roman" w:cs="Times New Roman"/>
          <w:sz w:val="24"/>
          <w:szCs w:val="24"/>
        </w:rPr>
        <w:t xml:space="preserve">. São Paulo: </w:t>
      </w:r>
      <w:proofErr w:type="spellStart"/>
      <w:r w:rsidRPr="00141E08">
        <w:rPr>
          <w:rFonts w:ascii="Times New Roman" w:eastAsia="Times New Roman" w:hAnsi="Times New Roman" w:cs="Times New Roman"/>
          <w:sz w:val="24"/>
          <w:szCs w:val="24"/>
        </w:rPr>
        <w:t>Intermeios</w:t>
      </w:r>
      <w:proofErr w:type="spellEnd"/>
      <w:r w:rsidRPr="00141E08">
        <w:rPr>
          <w:rFonts w:ascii="Times New Roman" w:eastAsia="Times New Roman" w:hAnsi="Times New Roman" w:cs="Times New Roman"/>
          <w:sz w:val="24"/>
          <w:szCs w:val="24"/>
        </w:rPr>
        <w:t>, 2016.</w:t>
      </w:r>
    </w:p>
    <w:p w14:paraId="109286E2"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604D45DF"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lastRenderedPageBreak/>
        <w:t xml:space="preserve">MILLER, A. M.; GRUSKIN, S.; COTTINGHAM, J. </w:t>
      </w:r>
      <w:r w:rsidRPr="00141E08">
        <w:rPr>
          <w:rFonts w:ascii="Times New Roman" w:eastAsia="Times New Roman" w:hAnsi="Times New Roman" w:cs="Times New Roman"/>
          <w:i/>
          <w:iCs/>
          <w:sz w:val="24"/>
          <w:szCs w:val="24"/>
        </w:rPr>
        <w:t>et al.</w:t>
      </w:r>
      <w:r w:rsidRPr="00141E08">
        <w:rPr>
          <w:rFonts w:ascii="Times New Roman" w:eastAsia="Times New Roman" w:hAnsi="Times New Roman" w:cs="Times New Roman"/>
          <w:sz w:val="24"/>
          <w:szCs w:val="24"/>
        </w:rPr>
        <w:t xml:space="preserve"> Som e fúria: engajamento com a política e a lei dos direitos sexuais. </w:t>
      </w:r>
      <w:proofErr w:type="spellStart"/>
      <w:r w:rsidRPr="00141E08">
        <w:rPr>
          <w:rFonts w:ascii="Times New Roman" w:eastAsia="Times New Roman" w:hAnsi="Times New Roman" w:cs="Times New Roman"/>
          <w:i/>
          <w:iCs/>
          <w:sz w:val="24"/>
          <w:szCs w:val="24"/>
        </w:rPr>
        <w:t>Reprod</w:t>
      </w:r>
      <w:proofErr w:type="spellEnd"/>
      <w:r w:rsidRPr="00141E08">
        <w:rPr>
          <w:rFonts w:ascii="Times New Roman" w:eastAsia="Times New Roman" w:hAnsi="Times New Roman" w:cs="Times New Roman"/>
          <w:i/>
          <w:iCs/>
          <w:sz w:val="24"/>
          <w:szCs w:val="24"/>
        </w:rPr>
        <w:t xml:space="preserve">. Health </w:t>
      </w:r>
      <w:proofErr w:type="spellStart"/>
      <w:r w:rsidRPr="00141E08">
        <w:rPr>
          <w:rFonts w:ascii="Times New Roman" w:eastAsia="Times New Roman" w:hAnsi="Times New Roman" w:cs="Times New Roman"/>
          <w:i/>
          <w:iCs/>
          <w:sz w:val="24"/>
          <w:szCs w:val="24"/>
        </w:rPr>
        <w:t>Matters</w:t>
      </w:r>
      <w:proofErr w:type="spellEnd"/>
      <w:r w:rsidRPr="00141E08">
        <w:rPr>
          <w:rFonts w:ascii="Times New Roman" w:eastAsia="Times New Roman" w:hAnsi="Times New Roman" w:cs="Times New Roman"/>
          <w:sz w:val="24"/>
          <w:szCs w:val="24"/>
        </w:rPr>
        <w:t>, v. 23, n. 46, p. 7-15, 2015. DOI: 10.1016/j.rhm.2015.11.006.</w:t>
      </w:r>
    </w:p>
    <w:p w14:paraId="0F7E5794"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7CF27AE4"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ONU. Organização das Nações Unidas. </w:t>
      </w:r>
      <w:r w:rsidRPr="00141E08">
        <w:rPr>
          <w:rFonts w:ascii="Times New Roman" w:eastAsia="Times New Roman" w:hAnsi="Times New Roman" w:cs="Times New Roman"/>
          <w:i/>
          <w:iCs/>
          <w:sz w:val="24"/>
          <w:szCs w:val="24"/>
        </w:rPr>
        <w:t>Declaração e Plataforma de Ação da IV Conferência Mundial sobre a Mulher</w:t>
      </w:r>
      <w:r w:rsidRPr="00141E08">
        <w:rPr>
          <w:rFonts w:ascii="Times New Roman" w:eastAsia="Times New Roman" w:hAnsi="Times New Roman" w:cs="Times New Roman"/>
          <w:sz w:val="24"/>
          <w:szCs w:val="24"/>
        </w:rPr>
        <w:t>. Pequim: ONU, 1995.</w:t>
      </w:r>
    </w:p>
    <w:p w14:paraId="7D616A85"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1D406D86"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RAGO, M. Epistemologia feminista, gênero e história. In: PEDRO, J. M.; GROSSI, M. P. (</w:t>
      </w:r>
      <w:proofErr w:type="spellStart"/>
      <w:r w:rsidRPr="00141E08">
        <w:rPr>
          <w:rFonts w:ascii="Times New Roman" w:eastAsia="Times New Roman" w:hAnsi="Times New Roman" w:cs="Times New Roman"/>
          <w:sz w:val="24"/>
          <w:szCs w:val="24"/>
        </w:rPr>
        <w:t>Orgs</w:t>
      </w:r>
      <w:proofErr w:type="spellEnd"/>
      <w:r w:rsidRPr="00141E08">
        <w:rPr>
          <w:rFonts w:ascii="Times New Roman" w:eastAsia="Times New Roman" w:hAnsi="Times New Roman" w:cs="Times New Roman"/>
          <w:sz w:val="24"/>
          <w:szCs w:val="24"/>
        </w:rPr>
        <w:t xml:space="preserve">.). </w:t>
      </w:r>
      <w:r w:rsidRPr="00141E08">
        <w:rPr>
          <w:rFonts w:ascii="Times New Roman" w:eastAsia="Times New Roman" w:hAnsi="Times New Roman" w:cs="Times New Roman"/>
          <w:i/>
          <w:iCs/>
          <w:sz w:val="24"/>
          <w:szCs w:val="24"/>
        </w:rPr>
        <w:t>Masculino, feminino, plural</w:t>
      </w:r>
      <w:r w:rsidRPr="00141E08">
        <w:rPr>
          <w:rFonts w:ascii="Times New Roman" w:eastAsia="Times New Roman" w:hAnsi="Times New Roman" w:cs="Times New Roman"/>
          <w:sz w:val="24"/>
          <w:szCs w:val="24"/>
        </w:rPr>
        <w:t xml:space="preserve">. Florianópolis: Editora Mulheres, 2000. </w:t>
      </w:r>
    </w:p>
    <w:p w14:paraId="4BB6753C"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31BC6A8C"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SAWAIA, B. Identidade – uma ideologia separatista? In: SAWAIA, B. (Org.). </w:t>
      </w:r>
      <w:r w:rsidRPr="00141E08">
        <w:rPr>
          <w:rFonts w:ascii="Times New Roman" w:eastAsia="Times New Roman" w:hAnsi="Times New Roman" w:cs="Times New Roman"/>
          <w:i/>
          <w:iCs/>
          <w:sz w:val="24"/>
          <w:szCs w:val="24"/>
        </w:rPr>
        <w:t>As artimanhas da exclusão: análise psicossocial e ética da desigualdade social</w:t>
      </w:r>
      <w:r w:rsidRPr="00141E08">
        <w:rPr>
          <w:rFonts w:ascii="Times New Roman" w:eastAsia="Times New Roman" w:hAnsi="Times New Roman" w:cs="Times New Roman"/>
          <w:sz w:val="24"/>
          <w:szCs w:val="24"/>
        </w:rPr>
        <w:t>. 14. ed. Petrópolis, RJ: Vozes, 2014c. p. 121-129.</w:t>
      </w:r>
    </w:p>
    <w:p w14:paraId="245037FB"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348057B9"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SAWAIA, B. O sofrimento ético-político como categoria de análise da dialética exclusão/inclusão. In: SAWAIA, B. (Org.). </w:t>
      </w:r>
      <w:r w:rsidRPr="00141E08">
        <w:rPr>
          <w:rFonts w:ascii="Times New Roman" w:eastAsia="Times New Roman" w:hAnsi="Times New Roman" w:cs="Times New Roman"/>
          <w:i/>
          <w:iCs/>
          <w:sz w:val="24"/>
          <w:szCs w:val="24"/>
        </w:rPr>
        <w:t>As artimanhas da exclusão: análise psicossocial e ética da desigualdade social</w:t>
      </w:r>
      <w:r w:rsidRPr="00141E08">
        <w:rPr>
          <w:rFonts w:ascii="Times New Roman" w:eastAsia="Times New Roman" w:hAnsi="Times New Roman" w:cs="Times New Roman"/>
          <w:sz w:val="24"/>
          <w:szCs w:val="24"/>
        </w:rPr>
        <w:t>. 14. ed. Petrópolis, RJ: Vozes, 2014a. p. 99-121.</w:t>
      </w:r>
    </w:p>
    <w:p w14:paraId="3AB22F3F"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60CB51F6" w14:textId="77777777" w:rsidR="0008441B" w:rsidRPr="00141E08" w:rsidRDefault="0008441B" w:rsidP="00141E08">
      <w:pPr>
        <w:spacing w:line="240" w:lineRule="auto"/>
        <w:jc w:val="both"/>
        <w:rPr>
          <w:rFonts w:ascii="Times New Roman" w:eastAsia="Times New Roman" w:hAnsi="Times New Roman" w:cs="Times New Roman"/>
          <w:sz w:val="24"/>
          <w:szCs w:val="24"/>
        </w:rPr>
      </w:pPr>
      <w:r w:rsidRPr="00141E08">
        <w:rPr>
          <w:rFonts w:ascii="Times New Roman" w:eastAsia="Times New Roman" w:hAnsi="Times New Roman" w:cs="Times New Roman"/>
          <w:sz w:val="24"/>
          <w:szCs w:val="24"/>
        </w:rPr>
        <w:t xml:space="preserve">TIBURI, M. </w:t>
      </w:r>
      <w:r w:rsidRPr="00141E08">
        <w:rPr>
          <w:rFonts w:ascii="Times New Roman" w:eastAsia="Times New Roman" w:hAnsi="Times New Roman" w:cs="Times New Roman"/>
          <w:i/>
          <w:iCs/>
          <w:sz w:val="24"/>
          <w:szCs w:val="24"/>
        </w:rPr>
        <w:t xml:space="preserve">Feminismo em comum: para todas, </w:t>
      </w:r>
      <w:proofErr w:type="spellStart"/>
      <w:r w:rsidRPr="00141E08">
        <w:rPr>
          <w:rFonts w:ascii="Times New Roman" w:eastAsia="Times New Roman" w:hAnsi="Times New Roman" w:cs="Times New Roman"/>
          <w:i/>
          <w:iCs/>
          <w:sz w:val="24"/>
          <w:szCs w:val="24"/>
        </w:rPr>
        <w:t>todes</w:t>
      </w:r>
      <w:proofErr w:type="spellEnd"/>
      <w:r w:rsidRPr="00141E08">
        <w:rPr>
          <w:rFonts w:ascii="Times New Roman" w:eastAsia="Times New Roman" w:hAnsi="Times New Roman" w:cs="Times New Roman"/>
          <w:i/>
          <w:iCs/>
          <w:sz w:val="24"/>
          <w:szCs w:val="24"/>
        </w:rPr>
        <w:t xml:space="preserve"> e todos</w:t>
      </w:r>
      <w:r w:rsidRPr="00141E08">
        <w:rPr>
          <w:rFonts w:ascii="Times New Roman" w:eastAsia="Times New Roman" w:hAnsi="Times New Roman" w:cs="Times New Roman"/>
          <w:sz w:val="24"/>
          <w:szCs w:val="24"/>
        </w:rPr>
        <w:t>. 9. ed. Rio de Janeiro: Rosa dos Tempos, 2018.</w:t>
      </w:r>
    </w:p>
    <w:p w14:paraId="73142E8B" w14:textId="77777777" w:rsidR="0008441B" w:rsidRPr="00141E08" w:rsidRDefault="0008441B" w:rsidP="00141E08">
      <w:pPr>
        <w:spacing w:line="240" w:lineRule="auto"/>
        <w:jc w:val="both"/>
        <w:rPr>
          <w:rFonts w:ascii="Times New Roman" w:eastAsia="Times New Roman" w:hAnsi="Times New Roman" w:cs="Times New Roman"/>
          <w:sz w:val="24"/>
          <w:szCs w:val="24"/>
        </w:rPr>
      </w:pPr>
    </w:p>
    <w:p w14:paraId="684A8514" w14:textId="77777777" w:rsidR="0008441B" w:rsidRPr="00141E08" w:rsidRDefault="0008441B" w:rsidP="00141E08">
      <w:pPr>
        <w:spacing w:line="240" w:lineRule="auto"/>
        <w:jc w:val="both"/>
        <w:rPr>
          <w:rFonts w:ascii="Times New Roman" w:eastAsia="Times New Roman" w:hAnsi="Times New Roman" w:cs="Times New Roman"/>
          <w:sz w:val="24"/>
          <w:szCs w:val="24"/>
          <w:lang w:val="es-ES"/>
        </w:rPr>
      </w:pPr>
      <w:r w:rsidRPr="00141E08">
        <w:rPr>
          <w:rFonts w:ascii="Times New Roman" w:eastAsia="Times New Roman" w:hAnsi="Times New Roman" w:cs="Times New Roman"/>
          <w:sz w:val="24"/>
          <w:szCs w:val="24"/>
          <w:lang w:val="fr-FR"/>
        </w:rPr>
        <w:t xml:space="preserve">XAVIER, D. M. </w:t>
      </w:r>
      <w:r w:rsidRPr="00141E08">
        <w:rPr>
          <w:rFonts w:ascii="Times New Roman" w:eastAsia="Times New Roman" w:hAnsi="Times New Roman" w:cs="Times New Roman"/>
          <w:i/>
          <w:iCs/>
          <w:sz w:val="24"/>
          <w:szCs w:val="24"/>
          <w:lang w:val="fr-FR"/>
        </w:rPr>
        <w:t>et al.</w:t>
      </w:r>
      <w:r w:rsidRPr="00141E08">
        <w:rPr>
          <w:rFonts w:ascii="Times New Roman" w:eastAsia="Times New Roman" w:hAnsi="Times New Roman" w:cs="Times New Roman"/>
          <w:sz w:val="24"/>
          <w:szCs w:val="24"/>
          <w:lang w:val="fr-FR"/>
        </w:rPr>
        <w:t xml:space="preserve"> Use of crack in pregnancy: repercussion for the newborn / Uso del crack durante el embarazo: repercusiones para el recién nacido. </w:t>
      </w:r>
      <w:r w:rsidRPr="00141E08">
        <w:rPr>
          <w:rFonts w:ascii="Times New Roman" w:eastAsia="Times New Roman" w:hAnsi="Times New Roman" w:cs="Times New Roman"/>
          <w:i/>
          <w:iCs/>
          <w:sz w:val="24"/>
          <w:szCs w:val="24"/>
          <w:lang w:val="es-ES"/>
        </w:rPr>
        <w:t>Investigación y Educación en Enfermería</w:t>
      </w:r>
      <w:r w:rsidRPr="00141E08">
        <w:rPr>
          <w:rFonts w:ascii="Times New Roman" w:eastAsia="Times New Roman" w:hAnsi="Times New Roman" w:cs="Times New Roman"/>
          <w:sz w:val="24"/>
          <w:szCs w:val="24"/>
          <w:lang w:val="es-ES"/>
        </w:rPr>
        <w:t>, v. 35, n. 3, p. 260-267, 2017.</w:t>
      </w:r>
      <w:r w:rsidRPr="00141E08">
        <w:rPr>
          <w:rFonts w:ascii="Times New Roman" w:hAnsi="Times New Roman" w:cs="Times New Roman"/>
          <w:sz w:val="24"/>
          <w:szCs w:val="24"/>
          <w:lang w:val="es-ES"/>
        </w:rPr>
        <w:t xml:space="preserve"> </w:t>
      </w:r>
      <w:r w:rsidRPr="00141E08">
        <w:rPr>
          <w:rFonts w:ascii="Times New Roman" w:eastAsia="Times New Roman" w:hAnsi="Times New Roman" w:cs="Times New Roman"/>
          <w:sz w:val="24"/>
          <w:szCs w:val="24"/>
          <w:lang w:val="es-ES"/>
        </w:rPr>
        <w:t>DOI: 10.17533/udea.iee.v35n3a02</w:t>
      </w:r>
    </w:p>
    <w:p w14:paraId="0DE03067" w14:textId="77777777" w:rsidR="0008441B" w:rsidRPr="00141E08" w:rsidRDefault="0008441B" w:rsidP="00141E08">
      <w:pPr>
        <w:spacing w:line="240" w:lineRule="auto"/>
        <w:jc w:val="both"/>
        <w:rPr>
          <w:rFonts w:ascii="Times New Roman" w:hAnsi="Times New Roman" w:cs="Times New Roman"/>
          <w:b/>
          <w:bCs/>
          <w:sz w:val="24"/>
          <w:szCs w:val="24"/>
          <w:lang w:val="es-ES"/>
        </w:rPr>
      </w:pPr>
    </w:p>
    <w:p w14:paraId="000000AD" w14:textId="77777777" w:rsidR="0025550D" w:rsidRPr="00141E08" w:rsidRDefault="0025550D" w:rsidP="00141E08">
      <w:pPr>
        <w:spacing w:line="360" w:lineRule="auto"/>
        <w:jc w:val="both"/>
        <w:rPr>
          <w:rFonts w:ascii="Times New Roman" w:hAnsi="Times New Roman" w:cs="Times New Roman"/>
          <w:sz w:val="24"/>
          <w:szCs w:val="24"/>
          <w:lang w:val="es-ES"/>
        </w:rPr>
      </w:pPr>
    </w:p>
    <w:sectPr w:rsidR="0025550D" w:rsidRPr="00141E08" w:rsidSect="00406D3E">
      <w:headerReference w:type="default" r:id="rId9"/>
      <w:footerReference w:type="default" r:id="rId10"/>
      <w:pgSz w:w="11909" w:h="16834"/>
      <w:pgMar w:top="1418" w:right="1701" w:bottom="1418"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D0F90" w14:textId="77777777" w:rsidR="00462616" w:rsidRDefault="00462616">
      <w:pPr>
        <w:spacing w:line="240" w:lineRule="auto"/>
      </w:pPr>
      <w:r>
        <w:separator/>
      </w:r>
    </w:p>
  </w:endnote>
  <w:endnote w:type="continuationSeparator" w:id="0">
    <w:p w14:paraId="051D387E" w14:textId="77777777" w:rsidR="00462616" w:rsidRDefault="004626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753134"/>
      <w:docPartObj>
        <w:docPartGallery w:val="Page Numbers (Bottom of Page)"/>
        <w:docPartUnique/>
      </w:docPartObj>
    </w:sdtPr>
    <w:sdtContent>
      <w:p w14:paraId="6A704749" w14:textId="6B6D2F29" w:rsidR="000326EF" w:rsidRDefault="000326EF">
        <w:pPr>
          <w:pStyle w:val="Rodap"/>
          <w:jc w:val="right"/>
        </w:pPr>
        <w:r>
          <w:fldChar w:fldCharType="begin"/>
        </w:r>
        <w:r>
          <w:instrText>PAGE   \* MERGEFORMAT</w:instrText>
        </w:r>
        <w:r>
          <w:fldChar w:fldCharType="separate"/>
        </w:r>
        <w:r>
          <w:t>2</w:t>
        </w:r>
        <w:r>
          <w:fldChar w:fldCharType="end"/>
        </w:r>
      </w:p>
    </w:sdtContent>
  </w:sdt>
  <w:p w14:paraId="6A67CE16" w14:textId="22488907" w:rsidR="000326EF" w:rsidRPr="000326EF" w:rsidRDefault="000326EF" w:rsidP="000326EF">
    <w:pPr>
      <w:pStyle w:val="Rodap"/>
      <w:rPr>
        <w:rFonts w:ascii="Times New Roman" w:hAnsi="Times New Roman" w:cs="Times New Roman"/>
      </w:rPr>
    </w:pPr>
    <w:proofErr w:type="gramStart"/>
    <w:r w:rsidRPr="000326EF">
      <w:rPr>
        <w:rFonts w:ascii="Times New Roman" w:hAnsi="Times New Roman" w:cs="Times New Roman"/>
        <w:color w:val="7030A0"/>
        <w:u w:color="7030A0"/>
      </w:rPr>
      <w:t>www.feminismos.neim.ufba.br</w:t>
    </w:r>
    <w:r w:rsidRPr="000326EF">
      <w:rPr>
        <w:rStyle w:val="NenhumA"/>
        <w:rFonts w:ascii="Times New Roman" w:hAnsi="Times New Roman" w:cs="Times New Roman"/>
      </w:rPr>
      <w:t xml:space="preserve">  </w:t>
    </w:r>
    <w:r w:rsidRPr="000326EF">
      <w:rPr>
        <w:rFonts w:ascii="Times New Roman" w:hAnsi="Times New Roman" w:cs="Times New Roman"/>
        <w:color w:val="7030A0"/>
        <w:u w:color="7030A0"/>
      </w:rPr>
      <w:t>ISSN</w:t>
    </w:r>
    <w:proofErr w:type="gramEnd"/>
    <w:r w:rsidRPr="000326EF">
      <w:rPr>
        <w:rFonts w:ascii="Times New Roman" w:hAnsi="Times New Roman" w:cs="Times New Roman"/>
        <w:color w:val="7030A0"/>
        <w:u w:color="7030A0"/>
      </w:rPr>
      <w:t>: 2317-</w:t>
    </w:r>
    <w:proofErr w:type="gramStart"/>
    <w:r w:rsidRPr="000326EF">
      <w:rPr>
        <w:rFonts w:ascii="Times New Roman" w:hAnsi="Times New Roman" w:cs="Times New Roman"/>
        <w:color w:val="7030A0"/>
        <w:u w:color="7030A0"/>
      </w:rPr>
      <w:t xml:space="preserve">2932  </w:t>
    </w:r>
    <w:proofErr w:type="spellStart"/>
    <w:r w:rsidRPr="000326EF">
      <w:rPr>
        <w:rFonts w:ascii="Times New Roman" w:hAnsi="Times New Roman" w:cs="Times New Roman"/>
        <w:color w:val="7030A0"/>
        <w:u w:color="7030A0"/>
      </w:rPr>
      <w:t>Vol</w:t>
    </w:r>
    <w:proofErr w:type="spellEnd"/>
    <w:proofErr w:type="gramEnd"/>
    <w:r w:rsidRPr="000326EF">
      <w:rPr>
        <w:rFonts w:ascii="Times New Roman" w:hAnsi="Times New Roman" w:cs="Times New Roman"/>
        <w:color w:val="7030A0"/>
        <w:u w:color="7030A0"/>
      </w:rPr>
      <w:t xml:space="preserve"> 1</w:t>
    </w:r>
    <w:r w:rsidR="00F06E7C">
      <w:rPr>
        <w:rFonts w:ascii="Times New Roman" w:hAnsi="Times New Roman" w:cs="Times New Roman"/>
        <w:color w:val="7030A0"/>
        <w:u w:color="7030A0"/>
      </w:rPr>
      <w:t>4</w:t>
    </w:r>
    <w:r w:rsidRPr="000326EF">
      <w:rPr>
        <w:rFonts w:ascii="Times New Roman" w:hAnsi="Times New Roman" w:cs="Times New Roman"/>
        <w:color w:val="7030A0"/>
        <w:u w:color="7030A0"/>
      </w:rPr>
      <w:t>, N</w:t>
    </w:r>
    <w:r w:rsidR="00281590">
      <w:rPr>
        <w:rFonts w:ascii="Times New Roman" w:hAnsi="Times New Roman" w:cs="Times New Roman"/>
        <w:color w:val="7030A0"/>
        <w:u w:color="7030A0"/>
      </w:rPr>
      <w:t>1</w:t>
    </w:r>
    <w:r w:rsidRPr="000326EF">
      <w:rPr>
        <w:rFonts w:ascii="Times New Roman" w:hAnsi="Times New Roman" w:cs="Times New Roman"/>
        <w:color w:val="7030A0"/>
        <w:u w:color="7030A0"/>
      </w:rPr>
      <w:t xml:space="preserve"> - </w:t>
    </w:r>
    <w:proofErr w:type="spellStart"/>
    <w:r w:rsidRPr="000326EF">
      <w:rPr>
        <w:rFonts w:ascii="Times New Roman" w:hAnsi="Times New Roman" w:cs="Times New Roman"/>
        <w:color w:val="7030A0"/>
        <w:u w:color="7030A0"/>
      </w:rPr>
      <w:t>j</w:t>
    </w:r>
    <w:r w:rsidR="00281590">
      <w:rPr>
        <w:rFonts w:ascii="Times New Roman" w:hAnsi="Times New Roman" w:cs="Times New Roman"/>
        <w:color w:val="7030A0"/>
        <w:u w:color="7030A0"/>
      </w:rPr>
      <w:t>an</w:t>
    </w:r>
    <w:proofErr w:type="spellEnd"/>
    <w:r w:rsidRPr="000326EF">
      <w:rPr>
        <w:rFonts w:ascii="Times New Roman" w:hAnsi="Times New Roman" w:cs="Times New Roman"/>
        <w:color w:val="7030A0"/>
        <w:u w:color="7030A0"/>
      </w:rPr>
      <w:t xml:space="preserve"> </w:t>
    </w:r>
    <w:r w:rsidR="00542F46">
      <w:rPr>
        <w:rFonts w:ascii="Times New Roman" w:hAnsi="Times New Roman" w:cs="Times New Roman"/>
        <w:color w:val="7030A0"/>
        <w:u w:color="7030A0"/>
      </w:rPr>
      <w:t>–</w:t>
    </w:r>
    <w:r w:rsidR="001155AD">
      <w:rPr>
        <w:rFonts w:ascii="Times New Roman" w:hAnsi="Times New Roman" w:cs="Times New Roman"/>
        <w:color w:val="7030A0"/>
        <w:u w:color="7030A0"/>
      </w:rPr>
      <w:t xml:space="preserve"> </w:t>
    </w:r>
    <w:proofErr w:type="spellStart"/>
    <w:r w:rsidR="00F06E7C">
      <w:rPr>
        <w:rFonts w:ascii="Times New Roman" w:hAnsi="Times New Roman" w:cs="Times New Roman"/>
        <w:color w:val="7030A0"/>
        <w:u w:color="7030A0"/>
      </w:rPr>
      <w:t>abr</w:t>
    </w:r>
    <w:proofErr w:type="spellEnd"/>
    <w:r w:rsidRPr="000326EF">
      <w:rPr>
        <w:rFonts w:ascii="Times New Roman" w:hAnsi="Times New Roman" w:cs="Times New Roman"/>
        <w:color w:val="7030A0"/>
        <w:u w:color="7030A0"/>
      </w:rPr>
      <w:t>/202</w:t>
    </w:r>
    <w:r w:rsidR="00F06E7C">
      <w:rPr>
        <w:rFonts w:ascii="Times New Roman" w:hAnsi="Times New Roman" w:cs="Times New Roman"/>
        <w:color w:val="7030A0"/>
        <w:u w:color="7030A0"/>
      </w:rPr>
      <w:t>6</w:t>
    </w:r>
    <w:r w:rsidRPr="000326EF">
      <w:rPr>
        <w:rFonts w:ascii="Times New Roman" w:hAnsi="Times New Roman" w:cs="Times New Roman"/>
        <w:color w:val="7030A0"/>
        <w:u w:color="7030A0"/>
      </w:rPr>
      <w:t xml:space="preserve">   e1</w:t>
    </w:r>
    <w:r w:rsidR="00F06E7C">
      <w:rPr>
        <w:rFonts w:ascii="Times New Roman" w:hAnsi="Times New Roman" w:cs="Times New Roman"/>
        <w:color w:val="7030A0"/>
        <w:u w:color="7030A0"/>
      </w:rPr>
      <w:t>4</w:t>
    </w:r>
    <w:r w:rsidR="00542F46">
      <w:rPr>
        <w:rFonts w:ascii="Times New Roman" w:hAnsi="Times New Roman" w:cs="Times New Roman"/>
        <w:color w:val="7030A0"/>
        <w:u w:color="7030A0"/>
      </w:rPr>
      <w:t>1</w:t>
    </w:r>
    <w:r w:rsidRPr="000326EF">
      <w:rPr>
        <w:rFonts w:ascii="Times New Roman" w:hAnsi="Times New Roman" w:cs="Times New Roman"/>
        <w:color w:val="7030A0"/>
        <w:u w:color="7030A0"/>
      </w:rPr>
      <w:t>2</w:t>
    </w:r>
    <w:r w:rsidR="00F06E7C">
      <w:rPr>
        <w:rFonts w:ascii="Times New Roman" w:hAnsi="Times New Roman" w:cs="Times New Roman"/>
        <w:color w:val="7030A0"/>
        <w:u w:color="7030A0"/>
      </w:rPr>
      <w:t>6</w:t>
    </w:r>
    <w:r w:rsidRPr="000326EF">
      <w:rPr>
        <w:rFonts w:ascii="Times New Roman" w:hAnsi="Times New Roman" w:cs="Times New Roman"/>
        <w:color w:val="7030A0"/>
        <w:u w:color="7030A0"/>
      </w:rPr>
      <w:t>0</w:t>
    </w:r>
    <w:r w:rsidR="00141E08">
      <w:rPr>
        <w:rFonts w:ascii="Times New Roman" w:hAnsi="Times New Roman" w:cs="Times New Roman"/>
        <w:color w:val="7030A0"/>
        <w:u w:color="7030A0"/>
      </w:rPr>
      <w:t>35</w:t>
    </w:r>
  </w:p>
  <w:p w14:paraId="000000B4" w14:textId="77777777" w:rsidR="0025550D" w:rsidRDefault="0025550D">
    <w:pPr>
      <w:widowControl w:val="0"/>
      <w:pBdr>
        <w:top w:val="nil"/>
        <w:left w:val="nil"/>
        <w:bottom w:val="nil"/>
        <w:right w:val="nil"/>
        <w:between w:val="nil"/>
      </w:pBd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CD802" w14:textId="77777777" w:rsidR="00462616" w:rsidRDefault="00462616">
      <w:pPr>
        <w:spacing w:line="240" w:lineRule="auto"/>
      </w:pPr>
      <w:r>
        <w:separator/>
      </w:r>
    </w:p>
  </w:footnote>
  <w:footnote w:type="continuationSeparator" w:id="0">
    <w:p w14:paraId="77492630" w14:textId="77777777" w:rsidR="00462616" w:rsidRDefault="00462616">
      <w:pPr>
        <w:spacing w:line="240" w:lineRule="auto"/>
      </w:pPr>
      <w:r>
        <w:continuationSeparator/>
      </w:r>
    </w:p>
  </w:footnote>
  <w:footnote w:id="1">
    <w:p w14:paraId="147DEA4A" w14:textId="77777777" w:rsidR="0008441B" w:rsidRPr="00AD69AE" w:rsidRDefault="0008441B" w:rsidP="00141E08">
      <w:pPr>
        <w:spacing w:line="240" w:lineRule="auto"/>
        <w:jc w:val="both"/>
        <w:rPr>
          <w:sz w:val="20"/>
          <w:szCs w:val="20"/>
        </w:rPr>
      </w:pPr>
      <w:r>
        <w:rPr>
          <w:rStyle w:val="Refdenotaderodap"/>
        </w:rPr>
        <w:footnoteRef/>
      </w:r>
      <w:r>
        <w:t xml:space="preserve"> </w:t>
      </w:r>
      <w:r w:rsidRPr="00AD69AE">
        <w:rPr>
          <w:sz w:val="20"/>
          <w:szCs w:val="20"/>
        </w:rPr>
        <w:t>Universidade Federal do Ceará (UFC) – Mestre em Saúde da Família</w:t>
      </w:r>
      <w:r>
        <w:rPr>
          <w:sz w:val="20"/>
          <w:szCs w:val="20"/>
        </w:rPr>
        <w:t xml:space="preserve"> </w:t>
      </w:r>
      <w:r w:rsidRPr="00AD69AE">
        <w:rPr>
          <w:sz w:val="20"/>
          <w:szCs w:val="20"/>
        </w:rPr>
        <w:t>Enfermeira. Mestra em Saúde da Família. Estuda Feminismos &amp; Interseccionalidades. Especialista com caráter de Residência em Saúde da Família. Especialista em Gestão e Enfermagem do Trabalho e Auditoria em Serviços de Enfermagem. Especializando-se em Enfermagem em Saúde da Mulher (2022-).</w:t>
      </w:r>
    </w:p>
    <w:p w14:paraId="3D91CF6E" w14:textId="77777777" w:rsidR="0008441B" w:rsidRDefault="0008441B" w:rsidP="00141E08">
      <w:pPr>
        <w:pStyle w:val="Textodenotaderodap"/>
        <w:jc w:val="both"/>
      </w:pPr>
    </w:p>
  </w:footnote>
  <w:footnote w:id="2">
    <w:p w14:paraId="1DCF91CB" w14:textId="77777777" w:rsidR="0008441B" w:rsidRPr="002C361A" w:rsidRDefault="0008441B" w:rsidP="00141E08">
      <w:pPr>
        <w:spacing w:line="240" w:lineRule="auto"/>
        <w:jc w:val="both"/>
        <w:rPr>
          <w:sz w:val="20"/>
          <w:szCs w:val="20"/>
        </w:rPr>
      </w:pPr>
      <w:r>
        <w:rPr>
          <w:rStyle w:val="Refdenotaderodap"/>
        </w:rPr>
        <w:footnoteRef/>
      </w:r>
      <w:r>
        <w:t xml:space="preserve"> </w:t>
      </w:r>
      <w:r w:rsidRPr="002C361A">
        <w:rPr>
          <w:sz w:val="20"/>
          <w:szCs w:val="20"/>
        </w:rPr>
        <w:t xml:space="preserve">Universidade Federal do Ceará (UFC) – Doutora em Sociologia. </w:t>
      </w:r>
    </w:p>
    <w:p w14:paraId="3F18E2A0" w14:textId="77777777" w:rsidR="0008441B" w:rsidRPr="002C361A" w:rsidRDefault="0008441B" w:rsidP="00141E08">
      <w:pPr>
        <w:pStyle w:val="Textodenotaderodap"/>
        <w:jc w:val="both"/>
      </w:pPr>
      <w:r w:rsidRPr="002C361A">
        <w:t>Atuou como professora Associada I da UFC, foi colaboradora do Mestrado em Saúde da Família e compôs o colegiado do Mestrado em Psicologia e Políticas Públicas e os colegiados dos cursos de Psicologia, Odontologia, Medicina, Música, e das Licenciaturas Interculturais Indígena PITAKAJA, e KUABA. Coordenou o LAEDDES (Laboratório de Estudos das Desigualdades &amp; Diversidades) atuando diretamente junto às escolas públicas desde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75BC0" w14:textId="5EC95A1B" w:rsidR="000326EF" w:rsidRDefault="000326EF">
    <w:pPr>
      <w:pStyle w:val="Cabealho"/>
    </w:pPr>
    <w:r>
      <w:rPr>
        <w:noProof/>
      </w:rPr>
      <w:drawing>
        <wp:inline distT="0" distB="0" distL="0" distR="0" wp14:anchorId="6D92AA14" wp14:editId="2E93AD2A">
          <wp:extent cx="5394960" cy="571500"/>
          <wp:effectExtent l="0" t="0" r="0" b="0"/>
          <wp:docPr id="1073741825" name="officeArt object" descr="Imagem 1"/>
          <wp:cNvGraphicFramePr/>
          <a:graphic xmlns:a="http://schemas.openxmlformats.org/drawingml/2006/main">
            <a:graphicData uri="http://schemas.openxmlformats.org/drawingml/2006/picture">
              <pic:pic xmlns:pic="http://schemas.openxmlformats.org/drawingml/2006/picture">
                <pic:nvPicPr>
                  <pic:cNvPr id="1073741825" name="Imagem 1" descr="Imagem 1"/>
                  <pic:cNvPicPr>
                    <a:picLocks noChangeAspect="1"/>
                  </pic:cNvPicPr>
                </pic:nvPicPr>
                <pic:blipFill>
                  <a:blip r:embed="rId1"/>
                  <a:stretch>
                    <a:fillRect/>
                  </a:stretch>
                </pic:blipFill>
                <pic:spPr>
                  <a:xfrm>
                    <a:off x="0" y="0"/>
                    <a:ext cx="5394960" cy="57150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B47E5"/>
    <w:multiLevelType w:val="hybridMultilevel"/>
    <w:tmpl w:val="022A5FC4"/>
    <w:lvl w:ilvl="0" w:tplc="FD2640BA">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50971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50D"/>
    <w:rsid w:val="000326EF"/>
    <w:rsid w:val="000404E1"/>
    <w:rsid w:val="0008441B"/>
    <w:rsid w:val="0008779A"/>
    <w:rsid w:val="000D0B5F"/>
    <w:rsid w:val="001155AD"/>
    <w:rsid w:val="00141E08"/>
    <w:rsid w:val="001A245E"/>
    <w:rsid w:val="001A327E"/>
    <w:rsid w:val="001B4A55"/>
    <w:rsid w:val="001E2188"/>
    <w:rsid w:val="001F7AF8"/>
    <w:rsid w:val="0025550D"/>
    <w:rsid w:val="002713E2"/>
    <w:rsid w:val="00281590"/>
    <w:rsid w:val="00307C66"/>
    <w:rsid w:val="00406D3E"/>
    <w:rsid w:val="0044153E"/>
    <w:rsid w:val="00442CBB"/>
    <w:rsid w:val="00462616"/>
    <w:rsid w:val="004B4D6F"/>
    <w:rsid w:val="00542F46"/>
    <w:rsid w:val="005F2B4A"/>
    <w:rsid w:val="006A7C51"/>
    <w:rsid w:val="006C293A"/>
    <w:rsid w:val="006D6EA8"/>
    <w:rsid w:val="00720C78"/>
    <w:rsid w:val="00741607"/>
    <w:rsid w:val="00972EDF"/>
    <w:rsid w:val="009D4F98"/>
    <w:rsid w:val="009E01A1"/>
    <w:rsid w:val="00A36E71"/>
    <w:rsid w:val="00AC6DF7"/>
    <w:rsid w:val="00AD486D"/>
    <w:rsid w:val="00AE35B7"/>
    <w:rsid w:val="00AE7EF3"/>
    <w:rsid w:val="00B90265"/>
    <w:rsid w:val="00BA1F0F"/>
    <w:rsid w:val="00C25203"/>
    <w:rsid w:val="00C309C0"/>
    <w:rsid w:val="00CF1392"/>
    <w:rsid w:val="00CF1522"/>
    <w:rsid w:val="00CF530E"/>
    <w:rsid w:val="00D12A0A"/>
    <w:rsid w:val="00D87623"/>
    <w:rsid w:val="00DD0B77"/>
    <w:rsid w:val="00EB5712"/>
    <w:rsid w:val="00F06E7C"/>
    <w:rsid w:val="00F300B0"/>
    <w:rsid w:val="00FC710B"/>
    <w:rsid w:val="00FF3A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FE738"/>
  <w15:docId w15:val="{B962D65F-2286-4707-91B6-FD573606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0326EF"/>
    <w:pPr>
      <w:tabs>
        <w:tab w:val="center" w:pos="4252"/>
        <w:tab w:val="right" w:pos="8504"/>
      </w:tabs>
      <w:spacing w:line="240" w:lineRule="auto"/>
    </w:pPr>
  </w:style>
  <w:style w:type="character" w:customStyle="1" w:styleId="CabealhoChar">
    <w:name w:val="Cabeçalho Char"/>
    <w:basedOn w:val="Fontepargpadro"/>
    <w:link w:val="Cabealho"/>
    <w:uiPriority w:val="99"/>
    <w:rsid w:val="000326EF"/>
  </w:style>
  <w:style w:type="paragraph" w:styleId="Rodap">
    <w:name w:val="footer"/>
    <w:basedOn w:val="Normal"/>
    <w:link w:val="RodapChar"/>
    <w:uiPriority w:val="99"/>
    <w:unhideWhenUsed/>
    <w:rsid w:val="000326EF"/>
    <w:pPr>
      <w:tabs>
        <w:tab w:val="center" w:pos="4252"/>
        <w:tab w:val="right" w:pos="8504"/>
      </w:tabs>
      <w:spacing w:line="240" w:lineRule="auto"/>
    </w:pPr>
  </w:style>
  <w:style w:type="character" w:customStyle="1" w:styleId="RodapChar">
    <w:name w:val="Rodapé Char"/>
    <w:basedOn w:val="Fontepargpadro"/>
    <w:link w:val="Rodap"/>
    <w:uiPriority w:val="99"/>
    <w:rsid w:val="000326EF"/>
  </w:style>
  <w:style w:type="character" w:customStyle="1" w:styleId="NenhumA">
    <w:name w:val="Nenhum A"/>
    <w:rsid w:val="000326EF"/>
  </w:style>
  <w:style w:type="paragraph" w:styleId="Textodenotaderodap">
    <w:name w:val="footnote text"/>
    <w:basedOn w:val="Normal"/>
    <w:link w:val="TextodenotaderodapChar"/>
    <w:uiPriority w:val="99"/>
    <w:semiHidden/>
    <w:unhideWhenUsed/>
    <w:rsid w:val="000326EF"/>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0326EF"/>
    <w:rPr>
      <w:sz w:val="20"/>
      <w:szCs w:val="20"/>
    </w:rPr>
  </w:style>
  <w:style w:type="character" w:styleId="Refdenotaderodap">
    <w:name w:val="footnote reference"/>
    <w:basedOn w:val="Fontepargpadro"/>
    <w:uiPriority w:val="99"/>
    <w:semiHidden/>
    <w:unhideWhenUsed/>
    <w:rsid w:val="000326EF"/>
    <w:rPr>
      <w:vertAlign w:val="superscript"/>
    </w:rPr>
  </w:style>
  <w:style w:type="paragraph" w:styleId="PargrafodaLista">
    <w:name w:val="List Paragraph"/>
    <w:basedOn w:val="Normal"/>
    <w:uiPriority w:val="34"/>
    <w:qFormat/>
    <w:rsid w:val="0008441B"/>
    <w:pPr>
      <w:spacing w:after="200"/>
      <w:ind w:left="720"/>
      <w:contextualSpacing/>
      <w:jc w:val="both"/>
    </w:pPr>
    <w:rPr>
      <w:rFonts w:ascii="Times New Roman" w:eastAsiaTheme="minorHAnsi" w:hAnsi="Times New Roman" w:cs="Times New Roman"/>
      <w:color w:val="000000" w:themeColor="dark1"/>
      <w:kern w:val="24"/>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s6g0x7HI8yRKN5uE4yhUGrVQXw==">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FD5D79-4E5E-4E17-AF2C-367B9D52F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20</Pages>
  <Words>9316</Words>
  <Characters>50309</Characters>
  <Application>Microsoft Office Word</Application>
  <DocSecurity>0</DocSecurity>
  <Lines>419</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Sardenberg</dc:creator>
  <cp:lastModifiedBy>Cecilia Sardenberg Sardenberg</cp:lastModifiedBy>
  <cp:revision>5</cp:revision>
  <cp:lastPrinted>2026-05-19T01:02:00Z</cp:lastPrinted>
  <dcterms:created xsi:type="dcterms:W3CDTF">2026-05-18T03:02:00Z</dcterms:created>
  <dcterms:modified xsi:type="dcterms:W3CDTF">2026-05-19T01:03:00Z</dcterms:modified>
</cp:coreProperties>
</file>